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87" w:rsidRDefault="00E03B87" w:rsidP="00E03B87">
      <w:pPr>
        <w:spacing w:after="0" w:line="240" w:lineRule="auto"/>
        <w:jc w:val="center"/>
        <w:rPr>
          <w:rFonts w:ascii="Arial" w:eastAsia="Times New Roman" w:hAnsi="Arial" w:cs="Arial"/>
          <w:b/>
          <w:bCs/>
          <w:sz w:val="28"/>
          <w:szCs w:val="28"/>
          <w:lang w:eastAsia="en-GB"/>
        </w:rPr>
      </w:pPr>
      <w:r w:rsidRPr="00E03B87">
        <w:rPr>
          <w:rFonts w:ascii="Arial" w:eastAsia="Times New Roman" w:hAnsi="Arial" w:cs="Arial"/>
          <w:b/>
          <w:bCs/>
          <w:sz w:val="28"/>
          <w:szCs w:val="28"/>
          <w:lang w:eastAsia="en-GB"/>
        </w:rPr>
        <w:t xml:space="preserve">MANCHESTER </w:t>
      </w:r>
      <w:r w:rsidR="00DB7F13">
        <w:rPr>
          <w:rFonts w:ascii="Arial" w:eastAsia="Times New Roman" w:hAnsi="Arial" w:cs="Arial"/>
          <w:b/>
          <w:bCs/>
          <w:sz w:val="28"/>
          <w:szCs w:val="28"/>
          <w:lang w:eastAsia="en-GB"/>
        </w:rPr>
        <w:t>UNIVERSITY</w:t>
      </w:r>
      <w:r w:rsidRPr="00E03B87">
        <w:rPr>
          <w:rFonts w:ascii="Arial" w:eastAsia="Times New Roman" w:hAnsi="Arial" w:cs="Arial"/>
          <w:b/>
          <w:bCs/>
          <w:sz w:val="28"/>
          <w:szCs w:val="28"/>
          <w:lang w:eastAsia="en-GB"/>
        </w:rPr>
        <w:t xml:space="preserve"> NHS FOUNDATION TRUST</w:t>
      </w:r>
    </w:p>
    <w:p w:rsidR="009E1058" w:rsidRPr="00E03B87" w:rsidRDefault="009E1058" w:rsidP="00E03B87">
      <w:pPr>
        <w:spacing w:after="0" w:line="240" w:lineRule="auto"/>
        <w:jc w:val="center"/>
        <w:rPr>
          <w:rFonts w:ascii="Arial" w:eastAsia="Times New Roman" w:hAnsi="Arial" w:cs="Arial"/>
          <w:b/>
          <w:bCs/>
          <w:sz w:val="28"/>
          <w:szCs w:val="28"/>
          <w:lang w:eastAsia="en-GB"/>
        </w:rPr>
      </w:pPr>
    </w:p>
    <w:p w:rsidR="00E03B87" w:rsidRDefault="00E03B87" w:rsidP="00E03B87">
      <w:pPr>
        <w:tabs>
          <w:tab w:val="left" w:pos="3615"/>
        </w:tabs>
        <w:spacing w:after="0" w:line="240" w:lineRule="auto"/>
        <w:rPr>
          <w:rFonts w:ascii="Arial" w:hAnsi="Arial" w:cs="Arial"/>
          <w:sz w:val="24"/>
          <w:szCs w:val="24"/>
        </w:rPr>
      </w:pPr>
      <w:r>
        <w:rPr>
          <w:rFonts w:ascii="Arial" w:hAnsi="Arial" w:cs="Arial"/>
          <w:sz w:val="24"/>
          <w:szCs w:val="24"/>
        </w:rPr>
        <w:tab/>
      </w:r>
    </w:p>
    <w:tbl>
      <w:tblPr>
        <w:tblpPr w:leftFromText="180" w:rightFromText="180" w:horzAnchor="margin" w:tblpXSpec="center" w:tblpY="1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1112"/>
        <w:gridCol w:w="6095"/>
      </w:tblGrid>
      <w:tr w:rsidR="00E03B87" w:rsidRPr="00E03B87" w:rsidTr="00E03B87">
        <w:trPr>
          <w:trHeight w:val="1134"/>
        </w:trPr>
        <w:tc>
          <w:tcPr>
            <w:tcW w:w="2682" w:type="dxa"/>
            <w:shd w:val="clear" w:color="auto" w:fill="E0E0E0"/>
            <w:vAlign w:val="center"/>
          </w:tcPr>
          <w:p w:rsidR="00E03B87" w:rsidRPr="00E03B87" w:rsidRDefault="00E03B87"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Report of:</w:t>
            </w:r>
          </w:p>
        </w:tc>
        <w:tc>
          <w:tcPr>
            <w:tcW w:w="7207" w:type="dxa"/>
            <w:gridSpan w:val="2"/>
            <w:shd w:val="clear" w:color="auto" w:fill="auto"/>
            <w:vAlign w:val="center"/>
          </w:tcPr>
          <w:p w:rsidR="00E03B87" w:rsidRPr="00E03B87" w:rsidRDefault="008A56F1" w:rsidP="0089076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Professor Jane Eddleston, Joint Group Medical Director</w:t>
            </w:r>
          </w:p>
        </w:tc>
      </w:tr>
      <w:tr w:rsidR="00E03B87" w:rsidRPr="00E03B87" w:rsidTr="00E03B87">
        <w:trPr>
          <w:trHeight w:val="1134"/>
        </w:trPr>
        <w:tc>
          <w:tcPr>
            <w:tcW w:w="2682" w:type="dxa"/>
            <w:shd w:val="clear" w:color="auto" w:fill="E0E0E0"/>
            <w:vAlign w:val="center"/>
          </w:tcPr>
          <w:p w:rsidR="00E03B87" w:rsidRPr="00E03B87" w:rsidRDefault="00E03B87"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Paper prepared by:</w:t>
            </w:r>
          </w:p>
        </w:tc>
        <w:tc>
          <w:tcPr>
            <w:tcW w:w="7207" w:type="dxa"/>
            <w:gridSpan w:val="2"/>
            <w:shd w:val="clear" w:color="auto" w:fill="auto"/>
            <w:vAlign w:val="center"/>
          </w:tcPr>
          <w:p w:rsidR="00E03B87" w:rsidRPr="00E03B87" w:rsidRDefault="00500BF1" w:rsidP="0089076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Ged Terriere</w:t>
            </w:r>
            <w:r w:rsidR="008A56F1">
              <w:rPr>
                <w:rFonts w:ascii="Arial" w:eastAsia="Times New Roman" w:hAnsi="Arial" w:cs="Arial"/>
                <w:bCs/>
                <w:sz w:val="24"/>
                <w:szCs w:val="24"/>
                <w:lang w:eastAsia="en-GB"/>
              </w:rPr>
              <w:t xml:space="preserve">, </w:t>
            </w:r>
            <w:r w:rsidR="001939E9">
              <w:rPr>
                <w:rFonts w:ascii="Arial" w:eastAsia="Times New Roman" w:hAnsi="Arial" w:cs="Arial"/>
                <w:bCs/>
                <w:sz w:val="24"/>
                <w:szCs w:val="24"/>
                <w:lang w:eastAsia="en-GB"/>
              </w:rPr>
              <w:t xml:space="preserve"> </w:t>
            </w:r>
            <w:r w:rsidR="008A56F1">
              <w:rPr>
                <w:rFonts w:ascii="Arial" w:eastAsia="Times New Roman" w:hAnsi="Arial" w:cs="Arial"/>
                <w:bCs/>
                <w:sz w:val="24"/>
                <w:szCs w:val="24"/>
                <w:lang w:eastAsia="en-GB"/>
              </w:rPr>
              <w:t>Guardian of Safe Working</w:t>
            </w:r>
          </w:p>
        </w:tc>
      </w:tr>
      <w:tr w:rsidR="00E03B87" w:rsidRPr="00E03B87" w:rsidTr="00E03B87">
        <w:trPr>
          <w:trHeight w:val="1134"/>
        </w:trPr>
        <w:tc>
          <w:tcPr>
            <w:tcW w:w="2682" w:type="dxa"/>
            <w:shd w:val="clear" w:color="auto" w:fill="E0E0E0"/>
            <w:vAlign w:val="center"/>
          </w:tcPr>
          <w:p w:rsidR="00E03B87" w:rsidRPr="00E03B87" w:rsidRDefault="00E03B87"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Date of paper:</w:t>
            </w:r>
          </w:p>
        </w:tc>
        <w:tc>
          <w:tcPr>
            <w:tcW w:w="7207" w:type="dxa"/>
            <w:gridSpan w:val="2"/>
            <w:shd w:val="clear" w:color="auto" w:fill="auto"/>
            <w:vAlign w:val="center"/>
          </w:tcPr>
          <w:p w:rsidR="00E03B87" w:rsidRPr="00E03B87" w:rsidRDefault="00254530" w:rsidP="0089076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November</w:t>
            </w:r>
            <w:r w:rsidR="008A56F1">
              <w:rPr>
                <w:rFonts w:ascii="Arial" w:eastAsia="Times New Roman" w:hAnsi="Arial" w:cs="Arial"/>
                <w:bCs/>
                <w:sz w:val="24"/>
                <w:szCs w:val="24"/>
                <w:lang w:eastAsia="en-GB"/>
              </w:rPr>
              <w:t xml:space="preserve"> 2019</w:t>
            </w:r>
          </w:p>
        </w:tc>
      </w:tr>
      <w:tr w:rsidR="00E03B87" w:rsidRPr="00E03B87" w:rsidTr="00E03B87">
        <w:trPr>
          <w:trHeight w:val="1134"/>
        </w:trPr>
        <w:tc>
          <w:tcPr>
            <w:tcW w:w="2682" w:type="dxa"/>
            <w:shd w:val="clear" w:color="auto" w:fill="E0E0E0"/>
            <w:vAlign w:val="center"/>
          </w:tcPr>
          <w:p w:rsidR="00E03B87" w:rsidRPr="00E03B87" w:rsidRDefault="00E03B87"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Subject:</w:t>
            </w:r>
          </w:p>
        </w:tc>
        <w:tc>
          <w:tcPr>
            <w:tcW w:w="7207" w:type="dxa"/>
            <w:gridSpan w:val="2"/>
            <w:shd w:val="clear" w:color="auto" w:fill="auto"/>
            <w:vAlign w:val="center"/>
          </w:tcPr>
          <w:p w:rsidR="008A56F1" w:rsidRDefault="008A56F1" w:rsidP="00E03B87">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Quarterly report from Guardian of Safe Working </w:t>
            </w:r>
          </w:p>
          <w:p w:rsidR="00E03B87" w:rsidRPr="006A6913" w:rsidRDefault="00254530" w:rsidP="00E03B87">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(Period  July – September</w:t>
            </w:r>
            <w:r w:rsidR="00500BF1">
              <w:rPr>
                <w:rFonts w:ascii="Arial" w:eastAsia="Times New Roman" w:hAnsi="Arial" w:cs="Arial"/>
                <w:bCs/>
                <w:sz w:val="24"/>
                <w:szCs w:val="24"/>
                <w:lang w:eastAsia="en-GB"/>
              </w:rPr>
              <w:t xml:space="preserve"> </w:t>
            </w:r>
            <w:r w:rsidR="00304BD2">
              <w:rPr>
                <w:rFonts w:ascii="Arial" w:eastAsia="Times New Roman" w:hAnsi="Arial" w:cs="Arial"/>
                <w:bCs/>
                <w:sz w:val="24"/>
                <w:szCs w:val="24"/>
                <w:lang w:eastAsia="en-GB"/>
              </w:rPr>
              <w:t>2019</w:t>
            </w:r>
            <w:r w:rsidR="008A56F1">
              <w:rPr>
                <w:rFonts w:ascii="Arial" w:eastAsia="Times New Roman" w:hAnsi="Arial" w:cs="Arial"/>
                <w:bCs/>
                <w:sz w:val="24"/>
                <w:szCs w:val="24"/>
                <w:lang w:eastAsia="en-GB"/>
              </w:rPr>
              <w:t>)</w:t>
            </w:r>
          </w:p>
        </w:tc>
      </w:tr>
      <w:tr w:rsidR="00E03B87" w:rsidRPr="00E03B87" w:rsidTr="00E03B87">
        <w:tc>
          <w:tcPr>
            <w:tcW w:w="2682" w:type="dxa"/>
            <w:shd w:val="clear" w:color="auto" w:fill="E0E0E0"/>
            <w:vAlign w:val="center"/>
          </w:tcPr>
          <w:p w:rsidR="00E03B87" w:rsidRPr="00E03B87" w:rsidRDefault="00E03B87"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Purpose of Report:</w:t>
            </w:r>
          </w:p>
        </w:tc>
        <w:tc>
          <w:tcPr>
            <w:tcW w:w="7207" w:type="dxa"/>
            <w:gridSpan w:val="2"/>
            <w:shd w:val="clear" w:color="auto" w:fill="auto"/>
          </w:tcPr>
          <w:p w:rsidR="008A56F1" w:rsidRDefault="008A56F1" w:rsidP="008A56F1">
            <w:pPr>
              <w:spacing w:after="0" w:line="240" w:lineRule="auto"/>
              <w:jc w:val="both"/>
              <w:rPr>
                <w:rFonts w:ascii="Arial" w:eastAsia="Times New Roman" w:hAnsi="Arial" w:cs="Arial"/>
                <w:bCs/>
                <w:sz w:val="24"/>
                <w:szCs w:val="24"/>
                <w:lang w:eastAsia="en-GB"/>
              </w:rPr>
            </w:pPr>
          </w:p>
          <w:p w:rsidR="00E03B87" w:rsidRDefault="008A56F1" w:rsidP="008A56F1">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The report is intended to:</w:t>
            </w:r>
          </w:p>
          <w:p w:rsidR="008A56F1" w:rsidRDefault="008A56F1" w:rsidP="008A56F1">
            <w:pPr>
              <w:numPr>
                <w:ilvl w:val="0"/>
                <w:numId w:val="3"/>
              </w:num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provide assurance to the HR Scrutiny Committee that junior doctors are working hours that are safe</w:t>
            </w:r>
          </w:p>
          <w:p w:rsidR="00E03B87" w:rsidRDefault="008A56F1" w:rsidP="008A56F1">
            <w:pPr>
              <w:numPr>
                <w:ilvl w:val="0"/>
                <w:numId w:val="3"/>
              </w:num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highlight areas of concern to the Committee</w:t>
            </w:r>
          </w:p>
          <w:p w:rsidR="008A56F1" w:rsidRPr="00E03B87" w:rsidRDefault="008A56F1" w:rsidP="008A56F1">
            <w:pPr>
              <w:spacing w:after="0" w:line="240" w:lineRule="auto"/>
              <w:ind w:left="720"/>
              <w:jc w:val="both"/>
              <w:rPr>
                <w:rFonts w:ascii="Arial" w:eastAsia="Times New Roman" w:hAnsi="Arial" w:cs="Arial"/>
                <w:bCs/>
                <w:sz w:val="24"/>
                <w:szCs w:val="24"/>
                <w:lang w:eastAsia="en-GB"/>
              </w:rPr>
            </w:pPr>
          </w:p>
        </w:tc>
      </w:tr>
      <w:tr w:rsidR="00E03B87" w:rsidRPr="00E03B87" w:rsidTr="008A56F1">
        <w:trPr>
          <w:trHeight w:val="1134"/>
        </w:trPr>
        <w:tc>
          <w:tcPr>
            <w:tcW w:w="2682" w:type="dxa"/>
            <w:shd w:val="clear" w:color="auto" w:fill="E0E0E0"/>
            <w:vAlign w:val="center"/>
          </w:tcPr>
          <w:p w:rsidR="00E03B87" w:rsidRPr="00E03B87" w:rsidRDefault="00E03B87"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Consideration of</w:t>
            </w:r>
          </w:p>
          <w:p w:rsidR="00E03B87" w:rsidRPr="00E03B87" w:rsidRDefault="00E03B87"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 xml:space="preserve">Risk against Key </w:t>
            </w:r>
          </w:p>
          <w:p w:rsidR="00E03B87" w:rsidRPr="00E03B87" w:rsidRDefault="00E03B87"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Priorities</w:t>
            </w:r>
          </w:p>
        </w:tc>
        <w:tc>
          <w:tcPr>
            <w:tcW w:w="7207" w:type="dxa"/>
            <w:gridSpan w:val="2"/>
            <w:shd w:val="clear" w:color="auto" w:fill="auto"/>
            <w:vAlign w:val="center"/>
          </w:tcPr>
          <w:p w:rsidR="00E03B87" w:rsidRPr="006A6913" w:rsidRDefault="008A56F1" w:rsidP="008A56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Staff satisfaction and reputation of the Trust</w:t>
            </w:r>
          </w:p>
        </w:tc>
      </w:tr>
      <w:tr w:rsidR="00E03B87" w:rsidRPr="00E03B87" w:rsidTr="008A56F1">
        <w:trPr>
          <w:trHeight w:val="1134"/>
        </w:trPr>
        <w:tc>
          <w:tcPr>
            <w:tcW w:w="2682" w:type="dxa"/>
            <w:shd w:val="clear" w:color="auto" w:fill="E0E0E0"/>
            <w:vAlign w:val="center"/>
          </w:tcPr>
          <w:p w:rsidR="00E03B87" w:rsidRPr="00E03B87" w:rsidRDefault="00E03B87" w:rsidP="008A56F1">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Recommendations</w:t>
            </w:r>
          </w:p>
        </w:tc>
        <w:tc>
          <w:tcPr>
            <w:tcW w:w="7207" w:type="dxa"/>
            <w:gridSpan w:val="2"/>
            <w:shd w:val="clear" w:color="auto" w:fill="auto"/>
            <w:vAlign w:val="center"/>
          </w:tcPr>
          <w:p w:rsidR="00E03B87" w:rsidRPr="00E03B87" w:rsidRDefault="008F37CE" w:rsidP="0089076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That t</w:t>
            </w:r>
            <w:r w:rsidR="008A56F1">
              <w:rPr>
                <w:rFonts w:ascii="Arial" w:eastAsia="Times New Roman" w:hAnsi="Arial" w:cs="Arial"/>
                <w:bCs/>
                <w:sz w:val="24"/>
                <w:szCs w:val="24"/>
                <w:lang w:eastAsia="en-GB"/>
              </w:rPr>
              <w:t>he HR Scrutiny Committee notes the content of this report</w:t>
            </w:r>
          </w:p>
        </w:tc>
      </w:tr>
      <w:tr w:rsidR="008A56F1" w:rsidRPr="00E03B87" w:rsidTr="008A56F1">
        <w:trPr>
          <w:trHeight w:val="1134"/>
        </w:trPr>
        <w:tc>
          <w:tcPr>
            <w:tcW w:w="2682" w:type="dxa"/>
            <w:shd w:val="clear" w:color="auto" w:fill="E0E0E0"/>
            <w:vAlign w:val="center"/>
          </w:tcPr>
          <w:p w:rsidR="008A56F1" w:rsidRPr="00E03B87" w:rsidRDefault="008A56F1" w:rsidP="00E03B87">
            <w:pPr>
              <w:spacing w:after="0" w:line="240" w:lineRule="auto"/>
              <w:rPr>
                <w:rFonts w:ascii="Arial" w:eastAsia="Times New Roman" w:hAnsi="Arial" w:cs="Arial"/>
                <w:b/>
                <w:bCs/>
                <w:sz w:val="24"/>
                <w:szCs w:val="24"/>
                <w:lang w:eastAsia="en-GB"/>
              </w:rPr>
            </w:pPr>
            <w:r w:rsidRPr="00E03B87">
              <w:rPr>
                <w:rFonts w:ascii="Arial" w:eastAsia="Times New Roman" w:hAnsi="Arial" w:cs="Arial"/>
                <w:b/>
                <w:bCs/>
                <w:sz w:val="24"/>
                <w:szCs w:val="24"/>
                <w:lang w:eastAsia="en-GB"/>
              </w:rPr>
              <w:t>Contact:</w:t>
            </w:r>
          </w:p>
        </w:tc>
        <w:tc>
          <w:tcPr>
            <w:tcW w:w="1112" w:type="dxa"/>
            <w:shd w:val="clear" w:color="auto" w:fill="auto"/>
          </w:tcPr>
          <w:p w:rsidR="008A56F1" w:rsidRDefault="008A56F1" w:rsidP="008A56F1">
            <w:pPr>
              <w:spacing w:after="0" w:line="240" w:lineRule="auto"/>
              <w:rPr>
                <w:rFonts w:ascii="Arial" w:eastAsia="Times New Roman" w:hAnsi="Arial" w:cs="Arial"/>
                <w:bCs/>
                <w:sz w:val="24"/>
                <w:szCs w:val="24"/>
                <w:u w:val="single"/>
                <w:lang w:eastAsia="en-GB"/>
              </w:rPr>
            </w:pPr>
          </w:p>
          <w:p w:rsidR="008A56F1" w:rsidRDefault="008A56F1" w:rsidP="008A56F1">
            <w:pPr>
              <w:spacing w:after="0" w:line="240" w:lineRule="auto"/>
              <w:rPr>
                <w:rFonts w:ascii="Arial" w:eastAsia="Times New Roman" w:hAnsi="Arial" w:cs="Arial"/>
                <w:bCs/>
                <w:sz w:val="24"/>
                <w:szCs w:val="24"/>
                <w:lang w:eastAsia="en-GB"/>
              </w:rPr>
            </w:pPr>
            <w:r w:rsidRPr="00E03B87">
              <w:rPr>
                <w:rFonts w:ascii="Arial" w:eastAsia="Times New Roman" w:hAnsi="Arial" w:cs="Arial"/>
                <w:bCs/>
                <w:sz w:val="24"/>
                <w:szCs w:val="24"/>
                <w:u w:val="single"/>
                <w:lang w:eastAsia="en-GB"/>
              </w:rPr>
              <w:t>Name</w:t>
            </w:r>
            <w:r w:rsidRPr="00E03B87">
              <w:rPr>
                <w:rFonts w:ascii="Arial" w:eastAsia="Times New Roman" w:hAnsi="Arial" w:cs="Arial"/>
                <w:bCs/>
                <w:sz w:val="24"/>
                <w:szCs w:val="24"/>
                <w:lang w:eastAsia="en-GB"/>
              </w:rPr>
              <w:t xml:space="preserve">:  </w:t>
            </w:r>
          </w:p>
          <w:p w:rsidR="008A56F1" w:rsidRDefault="008A56F1" w:rsidP="008A56F1">
            <w:pPr>
              <w:spacing w:after="0" w:line="240" w:lineRule="auto"/>
              <w:rPr>
                <w:rFonts w:ascii="Arial" w:eastAsia="Times New Roman" w:hAnsi="Arial" w:cs="Arial"/>
                <w:bCs/>
                <w:sz w:val="24"/>
                <w:szCs w:val="24"/>
                <w:lang w:eastAsia="en-GB"/>
              </w:rPr>
            </w:pPr>
            <w:r w:rsidRPr="00E03B87">
              <w:rPr>
                <w:rFonts w:ascii="Arial" w:eastAsia="Times New Roman" w:hAnsi="Arial" w:cs="Arial"/>
                <w:bCs/>
                <w:sz w:val="24"/>
                <w:szCs w:val="24"/>
                <w:lang w:eastAsia="en-GB"/>
              </w:rPr>
              <w:t xml:space="preserve">  </w:t>
            </w:r>
          </w:p>
          <w:p w:rsidR="008A56F1" w:rsidRPr="00E03B87" w:rsidRDefault="008A56F1" w:rsidP="008A56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u w:val="single"/>
                <w:lang w:eastAsia="en-GB"/>
              </w:rPr>
              <w:t>Emai</w:t>
            </w:r>
            <w:r w:rsidRPr="00E03B87">
              <w:rPr>
                <w:rFonts w:ascii="Arial" w:eastAsia="Times New Roman" w:hAnsi="Arial" w:cs="Arial"/>
                <w:bCs/>
                <w:sz w:val="24"/>
                <w:szCs w:val="24"/>
                <w:u w:val="single"/>
                <w:lang w:eastAsia="en-GB"/>
              </w:rPr>
              <w:t>l:</w:t>
            </w:r>
          </w:p>
          <w:p w:rsidR="008A56F1" w:rsidRPr="00E03B87" w:rsidRDefault="008A56F1" w:rsidP="008A56F1">
            <w:pPr>
              <w:spacing w:after="0" w:line="240" w:lineRule="auto"/>
              <w:rPr>
                <w:rFonts w:ascii="Arial" w:eastAsia="Times New Roman" w:hAnsi="Arial" w:cs="Arial"/>
                <w:bCs/>
                <w:sz w:val="24"/>
                <w:szCs w:val="24"/>
                <w:lang w:eastAsia="en-GB"/>
              </w:rPr>
            </w:pPr>
          </w:p>
        </w:tc>
        <w:tc>
          <w:tcPr>
            <w:tcW w:w="6095" w:type="dxa"/>
            <w:shd w:val="clear" w:color="auto" w:fill="auto"/>
          </w:tcPr>
          <w:p w:rsidR="008A56F1" w:rsidRDefault="008A56F1" w:rsidP="008A56F1">
            <w:pPr>
              <w:spacing w:after="0" w:line="240" w:lineRule="auto"/>
              <w:rPr>
                <w:rFonts w:ascii="Arial" w:eastAsia="Times New Roman" w:hAnsi="Arial" w:cs="Arial"/>
                <w:bCs/>
                <w:sz w:val="24"/>
                <w:szCs w:val="24"/>
                <w:lang w:eastAsia="en-GB"/>
              </w:rPr>
            </w:pPr>
          </w:p>
          <w:p w:rsidR="008A56F1" w:rsidRDefault="00500BF1" w:rsidP="008A56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Ged. Terriere</w:t>
            </w:r>
          </w:p>
          <w:p w:rsidR="008A56F1" w:rsidRDefault="008A56F1" w:rsidP="008A56F1">
            <w:pPr>
              <w:spacing w:after="0" w:line="240" w:lineRule="auto"/>
              <w:rPr>
                <w:rFonts w:ascii="Arial" w:eastAsia="Times New Roman" w:hAnsi="Arial" w:cs="Arial"/>
                <w:bCs/>
                <w:sz w:val="24"/>
                <w:szCs w:val="24"/>
                <w:lang w:eastAsia="en-GB"/>
              </w:rPr>
            </w:pPr>
          </w:p>
          <w:p w:rsidR="008A56F1" w:rsidRPr="00E03B87" w:rsidRDefault="00C05972" w:rsidP="008A56F1">
            <w:pPr>
              <w:spacing w:after="0" w:line="240" w:lineRule="auto"/>
              <w:rPr>
                <w:rFonts w:ascii="Arial" w:eastAsia="Times New Roman" w:hAnsi="Arial" w:cs="Arial"/>
                <w:bCs/>
                <w:sz w:val="24"/>
                <w:szCs w:val="24"/>
                <w:lang w:eastAsia="en-GB"/>
              </w:rPr>
            </w:pPr>
            <w:hyperlink r:id="rId9" w:history="1">
              <w:r w:rsidR="00500BF1" w:rsidRPr="00772C86">
                <w:rPr>
                  <w:rStyle w:val="Hyperlink"/>
                  <w:rFonts w:ascii="Arial" w:eastAsia="Times New Roman" w:hAnsi="Arial" w:cs="Arial"/>
                  <w:bCs/>
                  <w:sz w:val="24"/>
                  <w:szCs w:val="24"/>
                  <w:lang w:eastAsia="en-GB"/>
                </w:rPr>
                <w:t>gerard.terriere@mft.nhs.uk</w:t>
              </w:r>
            </w:hyperlink>
            <w:r w:rsidR="008A56F1">
              <w:rPr>
                <w:rFonts w:ascii="Arial" w:eastAsia="Times New Roman" w:hAnsi="Arial" w:cs="Arial"/>
                <w:bCs/>
                <w:sz w:val="24"/>
                <w:szCs w:val="24"/>
                <w:lang w:eastAsia="en-GB"/>
              </w:rPr>
              <w:t xml:space="preserve">  </w:t>
            </w:r>
          </w:p>
        </w:tc>
      </w:tr>
    </w:tbl>
    <w:p w:rsidR="00E03B87" w:rsidRDefault="00E03B87" w:rsidP="00E03B87">
      <w:pPr>
        <w:tabs>
          <w:tab w:val="left" w:pos="3615"/>
        </w:tabs>
        <w:spacing w:after="0" w:line="240" w:lineRule="auto"/>
        <w:jc w:val="center"/>
        <w:rPr>
          <w:rFonts w:ascii="Arial" w:hAnsi="Arial" w:cs="Arial"/>
          <w:sz w:val="24"/>
          <w:szCs w:val="24"/>
        </w:rPr>
      </w:pPr>
    </w:p>
    <w:p w:rsidR="004E3FB2" w:rsidRDefault="008A56F1" w:rsidP="008A56F1">
      <w:pPr>
        <w:pStyle w:val="ListParagraph"/>
        <w:ind w:left="0"/>
        <w:contextualSpacing/>
        <w:jc w:val="center"/>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Report from the Guardian of Safe Working</w:t>
      </w:r>
    </w:p>
    <w:p w:rsidR="008A56F1" w:rsidRDefault="00254530" w:rsidP="008A56F1">
      <w:pPr>
        <w:pStyle w:val="ListParagraph"/>
        <w:ind w:left="0"/>
        <w:contextualSpacing/>
        <w:jc w:val="center"/>
        <w:rPr>
          <w:rFonts w:ascii="Arial" w:hAnsi="Arial" w:cs="Arial"/>
          <w:b/>
          <w:sz w:val="21"/>
          <w:szCs w:val="21"/>
        </w:rPr>
      </w:pPr>
      <w:r>
        <w:rPr>
          <w:rFonts w:ascii="Arial" w:hAnsi="Arial" w:cs="Arial"/>
          <w:b/>
          <w:sz w:val="21"/>
          <w:szCs w:val="21"/>
        </w:rPr>
        <w:t>Period July – September</w:t>
      </w:r>
      <w:r w:rsidR="001B051B">
        <w:rPr>
          <w:rFonts w:ascii="Arial" w:hAnsi="Arial" w:cs="Arial"/>
          <w:b/>
          <w:sz w:val="21"/>
          <w:szCs w:val="21"/>
        </w:rPr>
        <w:t xml:space="preserve"> 2019</w:t>
      </w:r>
    </w:p>
    <w:p w:rsidR="008A56F1" w:rsidRDefault="008A56F1" w:rsidP="008A56F1">
      <w:pPr>
        <w:pStyle w:val="ListParagraph"/>
        <w:ind w:left="0"/>
        <w:contextualSpacing/>
        <w:jc w:val="center"/>
        <w:rPr>
          <w:rFonts w:ascii="Arial" w:hAnsi="Arial" w:cs="Arial"/>
          <w:b/>
          <w:sz w:val="21"/>
          <w:szCs w:val="21"/>
        </w:rPr>
      </w:pPr>
    </w:p>
    <w:p w:rsidR="008A56F1" w:rsidRDefault="008A56F1" w:rsidP="008A56F1">
      <w:pPr>
        <w:pStyle w:val="ListParagraph"/>
        <w:numPr>
          <w:ilvl w:val="0"/>
          <w:numId w:val="4"/>
        </w:numPr>
        <w:contextualSpacing/>
        <w:jc w:val="both"/>
        <w:rPr>
          <w:rFonts w:ascii="Arial" w:hAnsi="Arial" w:cs="Arial"/>
          <w:b/>
          <w:sz w:val="21"/>
          <w:szCs w:val="21"/>
        </w:rPr>
      </w:pPr>
      <w:r>
        <w:rPr>
          <w:rFonts w:ascii="Arial" w:hAnsi="Arial" w:cs="Arial"/>
          <w:b/>
          <w:sz w:val="21"/>
          <w:szCs w:val="21"/>
        </w:rPr>
        <w:t>Background</w:t>
      </w:r>
    </w:p>
    <w:p w:rsidR="008A56F1" w:rsidRDefault="008A56F1" w:rsidP="008A56F1">
      <w:pPr>
        <w:pStyle w:val="ListParagraph"/>
        <w:ind w:left="360"/>
        <w:contextualSpacing/>
        <w:jc w:val="both"/>
        <w:rPr>
          <w:rFonts w:ascii="Arial" w:hAnsi="Arial" w:cs="Arial"/>
          <w:b/>
          <w:sz w:val="21"/>
          <w:szCs w:val="21"/>
        </w:rPr>
      </w:pPr>
    </w:p>
    <w:p w:rsidR="008A56F1" w:rsidRDefault="00216F3D" w:rsidP="008A56F1">
      <w:pPr>
        <w:pStyle w:val="ListParagraph"/>
        <w:ind w:left="360"/>
        <w:contextualSpacing/>
        <w:jc w:val="both"/>
        <w:rPr>
          <w:rFonts w:ascii="Arial" w:hAnsi="Arial" w:cs="Arial"/>
          <w:sz w:val="21"/>
          <w:szCs w:val="21"/>
        </w:rPr>
      </w:pPr>
      <w:r>
        <w:rPr>
          <w:rFonts w:ascii="Arial" w:hAnsi="Arial" w:cs="Arial"/>
          <w:sz w:val="21"/>
          <w:szCs w:val="21"/>
        </w:rPr>
        <w:t xml:space="preserve">The 2016 Terms and conditions of service for </w:t>
      </w:r>
      <w:proofErr w:type="gramStart"/>
      <w:r>
        <w:rPr>
          <w:rFonts w:ascii="Arial" w:hAnsi="Arial" w:cs="Arial"/>
          <w:sz w:val="21"/>
          <w:szCs w:val="21"/>
        </w:rPr>
        <w:t>Junior</w:t>
      </w:r>
      <w:proofErr w:type="gramEnd"/>
      <w:r>
        <w:rPr>
          <w:rFonts w:ascii="Arial" w:hAnsi="Arial" w:cs="Arial"/>
          <w:sz w:val="21"/>
          <w:szCs w:val="21"/>
        </w:rPr>
        <w:t xml:space="preserve"> doctors and Dentists in training introduced the role if the Guardian of Safe Working</w:t>
      </w:r>
      <w:r w:rsidR="00B5659C">
        <w:rPr>
          <w:rFonts w:ascii="Arial" w:hAnsi="Arial" w:cs="Arial"/>
          <w:sz w:val="21"/>
          <w:szCs w:val="21"/>
        </w:rPr>
        <w:t>, (</w:t>
      </w:r>
      <w:r>
        <w:rPr>
          <w:rFonts w:ascii="Arial" w:hAnsi="Arial" w:cs="Arial"/>
          <w:sz w:val="21"/>
          <w:szCs w:val="21"/>
        </w:rPr>
        <w:t xml:space="preserve">GoSW). </w:t>
      </w:r>
      <w:r w:rsidR="008A56F1">
        <w:rPr>
          <w:rFonts w:ascii="Arial" w:hAnsi="Arial" w:cs="Arial"/>
          <w:sz w:val="21"/>
          <w:szCs w:val="21"/>
        </w:rPr>
        <w:t>The Guardian’s primary responsibility is to act as the champion of safe working hours for doctors in training and provide assurance to the Trust that doctors are safely rostered and that their working hours are compliant with the new terms and condition of service.  As part of the above, the</w:t>
      </w:r>
      <w:r>
        <w:rPr>
          <w:rFonts w:ascii="Arial" w:hAnsi="Arial" w:cs="Arial"/>
          <w:sz w:val="21"/>
          <w:szCs w:val="21"/>
        </w:rPr>
        <w:t xml:space="preserve"> Guardian of Safe Working </w:t>
      </w:r>
      <w:r w:rsidR="008A56F1">
        <w:rPr>
          <w:rFonts w:ascii="Arial" w:hAnsi="Arial" w:cs="Arial"/>
          <w:sz w:val="21"/>
          <w:szCs w:val="21"/>
        </w:rPr>
        <w:t xml:space="preserve">is required to submit </w:t>
      </w:r>
      <w:r w:rsidR="00B5659C">
        <w:rPr>
          <w:rFonts w:ascii="Arial" w:hAnsi="Arial" w:cs="Arial"/>
          <w:sz w:val="21"/>
          <w:szCs w:val="21"/>
        </w:rPr>
        <w:t>a yearly, as well as quarterly report</w:t>
      </w:r>
      <w:r w:rsidR="008A56F1">
        <w:rPr>
          <w:rFonts w:ascii="Arial" w:hAnsi="Arial" w:cs="Arial"/>
          <w:sz w:val="21"/>
          <w:szCs w:val="21"/>
        </w:rPr>
        <w:t xml:space="preserve"> to the Board.  This report relates to p</w:t>
      </w:r>
      <w:r w:rsidR="0085088E">
        <w:rPr>
          <w:rFonts w:ascii="Arial" w:hAnsi="Arial" w:cs="Arial"/>
          <w:sz w:val="21"/>
          <w:szCs w:val="21"/>
        </w:rPr>
        <w:t>eriod 01 July to 30 September</w:t>
      </w:r>
      <w:r w:rsidR="00304BD2">
        <w:rPr>
          <w:rFonts w:ascii="Arial" w:hAnsi="Arial" w:cs="Arial"/>
          <w:sz w:val="21"/>
          <w:szCs w:val="21"/>
        </w:rPr>
        <w:t xml:space="preserve"> 2019</w:t>
      </w:r>
      <w:r w:rsidR="008A56F1">
        <w:rPr>
          <w:rFonts w:ascii="Arial" w:hAnsi="Arial" w:cs="Arial"/>
          <w:sz w:val="21"/>
          <w:szCs w:val="21"/>
        </w:rPr>
        <w:t>.</w:t>
      </w:r>
    </w:p>
    <w:p w:rsidR="008A56F1" w:rsidRDefault="008A56F1" w:rsidP="008A56F1">
      <w:pPr>
        <w:pStyle w:val="ListParagraph"/>
        <w:ind w:left="360"/>
        <w:contextualSpacing/>
        <w:jc w:val="both"/>
        <w:rPr>
          <w:rFonts w:ascii="Arial" w:hAnsi="Arial" w:cs="Arial"/>
          <w:sz w:val="21"/>
          <w:szCs w:val="21"/>
        </w:rPr>
      </w:pPr>
    </w:p>
    <w:p w:rsidR="008A56F1" w:rsidRDefault="008A56F1" w:rsidP="008A56F1">
      <w:pPr>
        <w:pStyle w:val="ListParagraph"/>
        <w:ind w:left="360"/>
        <w:contextualSpacing/>
        <w:jc w:val="both"/>
        <w:rPr>
          <w:rFonts w:ascii="Arial" w:hAnsi="Arial" w:cs="Arial"/>
          <w:sz w:val="21"/>
          <w:szCs w:val="21"/>
        </w:rPr>
      </w:pPr>
      <w:r>
        <w:rPr>
          <w:rFonts w:ascii="Arial" w:hAnsi="Arial" w:cs="Arial"/>
          <w:sz w:val="21"/>
          <w:szCs w:val="21"/>
        </w:rPr>
        <w:t>Where possible, the data for Oxford Road Campus</w:t>
      </w:r>
      <w:r w:rsidR="00C7358D">
        <w:rPr>
          <w:rFonts w:ascii="Arial" w:hAnsi="Arial" w:cs="Arial"/>
          <w:sz w:val="21"/>
          <w:szCs w:val="21"/>
        </w:rPr>
        <w:t xml:space="preserve"> (ORC)</w:t>
      </w:r>
      <w:r>
        <w:rPr>
          <w:rFonts w:ascii="Arial" w:hAnsi="Arial" w:cs="Arial"/>
          <w:sz w:val="21"/>
          <w:szCs w:val="21"/>
        </w:rPr>
        <w:t xml:space="preserve"> and Wythenshawe, Trafford, Withington and Altrincham</w:t>
      </w:r>
      <w:r w:rsidR="00C7358D">
        <w:rPr>
          <w:rFonts w:ascii="Arial" w:hAnsi="Arial" w:cs="Arial"/>
          <w:sz w:val="21"/>
          <w:szCs w:val="21"/>
        </w:rPr>
        <w:t xml:space="preserve"> (WTWA)</w:t>
      </w:r>
      <w:r>
        <w:rPr>
          <w:rFonts w:ascii="Arial" w:hAnsi="Arial" w:cs="Arial"/>
          <w:sz w:val="21"/>
          <w:szCs w:val="21"/>
        </w:rPr>
        <w:t xml:space="preserve"> have been merged to produce a single set of data.  Unless specified, the data presented is for the whole T</w:t>
      </w:r>
      <w:r w:rsidR="00493341">
        <w:rPr>
          <w:rFonts w:ascii="Arial" w:hAnsi="Arial" w:cs="Arial"/>
          <w:sz w:val="21"/>
          <w:szCs w:val="21"/>
        </w:rPr>
        <w:t>rust.  T</w:t>
      </w:r>
      <w:r>
        <w:rPr>
          <w:rFonts w:ascii="Arial" w:hAnsi="Arial" w:cs="Arial"/>
          <w:sz w:val="21"/>
          <w:szCs w:val="21"/>
        </w:rPr>
        <w:t xml:space="preserve">he </w:t>
      </w:r>
      <w:r w:rsidR="00B5659C">
        <w:rPr>
          <w:rFonts w:ascii="Arial" w:hAnsi="Arial" w:cs="Arial"/>
          <w:sz w:val="21"/>
          <w:szCs w:val="21"/>
        </w:rPr>
        <w:t>numbers</w:t>
      </w:r>
      <w:r>
        <w:rPr>
          <w:rFonts w:ascii="Arial" w:hAnsi="Arial" w:cs="Arial"/>
          <w:sz w:val="21"/>
          <w:szCs w:val="21"/>
        </w:rPr>
        <w:t xml:space="preserve"> of exception reports received and closed </w:t>
      </w:r>
      <w:r w:rsidR="00493341">
        <w:rPr>
          <w:rFonts w:ascii="Arial" w:hAnsi="Arial" w:cs="Arial"/>
          <w:sz w:val="21"/>
          <w:szCs w:val="21"/>
        </w:rPr>
        <w:t>for period August 2017</w:t>
      </w:r>
      <w:r w:rsidR="0061712E">
        <w:rPr>
          <w:rFonts w:ascii="Arial" w:hAnsi="Arial" w:cs="Arial"/>
          <w:sz w:val="21"/>
          <w:szCs w:val="21"/>
        </w:rPr>
        <w:t xml:space="preserve"> – </w:t>
      </w:r>
      <w:r w:rsidR="00B5659C">
        <w:rPr>
          <w:rFonts w:ascii="Arial" w:hAnsi="Arial" w:cs="Arial"/>
          <w:sz w:val="21"/>
          <w:szCs w:val="21"/>
        </w:rPr>
        <w:t>September 2019</w:t>
      </w:r>
      <w:r>
        <w:rPr>
          <w:rFonts w:ascii="Arial" w:hAnsi="Arial" w:cs="Arial"/>
          <w:sz w:val="21"/>
          <w:szCs w:val="21"/>
        </w:rPr>
        <w:t xml:space="preserve">, as well as a comparison </w:t>
      </w:r>
      <w:r w:rsidR="00493341">
        <w:rPr>
          <w:rFonts w:ascii="Arial" w:hAnsi="Arial" w:cs="Arial"/>
          <w:sz w:val="21"/>
          <w:szCs w:val="21"/>
        </w:rPr>
        <w:t xml:space="preserve">of the </w:t>
      </w:r>
      <w:r>
        <w:rPr>
          <w:rFonts w:ascii="Arial" w:hAnsi="Arial" w:cs="Arial"/>
          <w:sz w:val="21"/>
          <w:szCs w:val="21"/>
        </w:rPr>
        <w:t>number of except</w:t>
      </w:r>
      <w:r w:rsidR="00304BD2">
        <w:rPr>
          <w:rFonts w:ascii="Arial" w:hAnsi="Arial" w:cs="Arial"/>
          <w:sz w:val="21"/>
          <w:szCs w:val="21"/>
        </w:rPr>
        <w:t>io</w:t>
      </w:r>
      <w:r w:rsidR="0085088E">
        <w:rPr>
          <w:rFonts w:ascii="Arial" w:hAnsi="Arial" w:cs="Arial"/>
          <w:sz w:val="21"/>
          <w:szCs w:val="21"/>
        </w:rPr>
        <w:t>n reports submitted for July – September</w:t>
      </w:r>
      <w:r w:rsidR="00304BD2">
        <w:rPr>
          <w:rFonts w:ascii="Arial" w:hAnsi="Arial" w:cs="Arial"/>
          <w:sz w:val="21"/>
          <w:szCs w:val="21"/>
        </w:rPr>
        <w:t xml:space="preserve"> 2019</w:t>
      </w:r>
      <w:r>
        <w:rPr>
          <w:rFonts w:ascii="Arial" w:hAnsi="Arial" w:cs="Arial"/>
          <w:sz w:val="21"/>
          <w:szCs w:val="21"/>
        </w:rPr>
        <w:t xml:space="preserve"> against the same period </w:t>
      </w:r>
      <w:r w:rsidR="00D649F1">
        <w:rPr>
          <w:rFonts w:ascii="Arial" w:hAnsi="Arial" w:cs="Arial"/>
          <w:sz w:val="21"/>
          <w:szCs w:val="21"/>
        </w:rPr>
        <w:t xml:space="preserve">in </w:t>
      </w:r>
      <w:r w:rsidR="00500BF1">
        <w:rPr>
          <w:rFonts w:ascii="Arial" w:hAnsi="Arial" w:cs="Arial"/>
          <w:sz w:val="21"/>
          <w:szCs w:val="21"/>
        </w:rPr>
        <w:t>20</w:t>
      </w:r>
      <w:r w:rsidR="00304BD2">
        <w:rPr>
          <w:rFonts w:ascii="Arial" w:hAnsi="Arial" w:cs="Arial"/>
          <w:sz w:val="21"/>
          <w:szCs w:val="21"/>
        </w:rPr>
        <w:t>18</w:t>
      </w:r>
      <w:r w:rsidR="00D649F1">
        <w:rPr>
          <w:rFonts w:ascii="Arial" w:hAnsi="Arial" w:cs="Arial"/>
          <w:sz w:val="21"/>
          <w:szCs w:val="21"/>
        </w:rPr>
        <w:t xml:space="preserve"> are depicted in Appendix 1 and 2 respectively.</w:t>
      </w:r>
    </w:p>
    <w:p w:rsidR="00CC3D56" w:rsidRDefault="00CC3D56" w:rsidP="008A56F1">
      <w:pPr>
        <w:pStyle w:val="ListParagraph"/>
        <w:ind w:left="360"/>
        <w:contextualSpacing/>
        <w:jc w:val="both"/>
        <w:rPr>
          <w:rFonts w:ascii="Arial" w:hAnsi="Arial" w:cs="Arial"/>
          <w:sz w:val="21"/>
          <w:szCs w:val="21"/>
        </w:rPr>
      </w:pPr>
    </w:p>
    <w:p w:rsidR="00AA6FA6" w:rsidRDefault="0061712E" w:rsidP="008A56F1">
      <w:pPr>
        <w:pStyle w:val="ListParagraph"/>
        <w:ind w:left="360"/>
        <w:contextualSpacing/>
        <w:jc w:val="both"/>
        <w:rPr>
          <w:rFonts w:ascii="Arial" w:hAnsi="Arial" w:cs="Arial"/>
          <w:sz w:val="21"/>
          <w:szCs w:val="21"/>
        </w:rPr>
      </w:pPr>
      <w:r>
        <w:rPr>
          <w:rFonts w:ascii="Arial" w:hAnsi="Arial" w:cs="Arial"/>
          <w:sz w:val="21"/>
          <w:szCs w:val="21"/>
        </w:rPr>
        <w:t xml:space="preserve">A review of the 2016 junior doctors’ contract has been undertaken leading to a number of </w:t>
      </w:r>
      <w:r w:rsidR="00346098">
        <w:rPr>
          <w:rFonts w:ascii="Arial" w:hAnsi="Arial" w:cs="Arial"/>
          <w:sz w:val="21"/>
          <w:szCs w:val="21"/>
        </w:rPr>
        <w:t>further amendments</w:t>
      </w:r>
      <w:r>
        <w:rPr>
          <w:rFonts w:ascii="Arial" w:hAnsi="Arial" w:cs="Arial"/>
          <w:sz w:val="21"/>
          <w:szCs w:val="21"/>
        </w:rPr>
        <w:t xml:space="preserve"> to the contract</w:t>
      </w:r>
      <w:r w:rsidR="00493341">
        <w:rPr>
          <w:rFonts w:ascii="Arial" w:hAnsi="Arial" w:cs="Arial"/>
          <w:sz w:val="21"/>
          <w:szCs w:val="21"/>
        </w:rPr>
        <w:t>. I</w:t>
      </w:r>
      <w:r w:rsidR="009C6CBB">
        <w:rPr>
          <w:rFonts w:ascii="Arial" w:hAnsi="Arial" w:cs="Arial"/>
          <w:sz w:val="21"/>
          <w:szCs w:val="21"/>
        </w:rPr>
        <w:t>mplementation of the amendments</w:t>
      </w:r>
      <w:r w:rsidR="007C0C66">
        <w:rPr>
          <w:rFonts w:ascii="Arial" w:hAnsi="Arial" w:cs="Arial"/>
          <w:sz w:val="21"/>
          <w:szCs w:val="21"/>
        </w:rPr>
        <w:t xml:space="preserve">, some of which will be challenging to the Trust, </w:t>
      </w:r>
      <w:r w:rsidR="00493341">
        <w:rPr>
          <w:rFonts w:ascii="Arial" w:hAnsi="Arial" w:cs="Arial"/>
          <w:sz w:val="21"/>
          <w:szCs w:val="21"/>
        </w:rPr>
        <w:t>commenced in</w:t>
      </w:r>
      <w:r>
        <w:rPr>
          <w:rFonts w:ascii="Arial" w:hAnsi="Arial" w:cs="Arial"/>
          <w:sz w:val="21"/>
          <w:szCs w:val="21"/>
        </w:rPr>
        <w:t xml:space="preserve"> August 2019</w:t>
      </w:r>
      <w:r w:rsidR="00493341">
        <w:rPr>
          <w:rFonts w:ascii="Arial" w:hAnsi="Arial" w:cs="Arial"/>
          <w:sz w:val="21"/>
          <w:szCs w:val="21"/>
        </w:rPr>
        <w:t xml:space="preserve"> and will n</w:t>
      </w:r>
      <w:r w:rsidR="003D0347">
        <w:rPr>
          <w:rFonts w:ascii="Arial" w:hAnsi="Arial" w:cs="Arial"/>
          <w:sz w:val="21"/>
          <w:szCs w:val="21"/>
        </w:rPr>
        <w:t>eed to have been completed by August</w:t>
      </w:r>
      <w:r w:rsidR="00493341">
        <w:rPr>
          <w:rFonts w:ascii="Arial" w:hAnsi="Arial" w:cs="Arial"/>
          <w:sz w:val="21"/>
          <w:szCs w:val="21"/>
        </w:rPr>
        <w:t xml:space="preserve"> 2020 at the latest</w:t>
      </w:r>
      <w:r w:rsidR="009C6CBB">
        <w:rPr>
          <w:rFonts w:ascii="Arial" w:hAnsi="Arial" w:cs="Arial"/>
          <w:sz w:val="21"/>
          <w:szCs w:val="21"/>
        </w:rPr>
        <w:t xml:space="preserve">. Please find outlined a list of the amendments in </w:t>
      </w:r>
      <w:r w:rsidR="00346098">
        <w:rPr>
          <w:rFonts w:ascii="Arial" w:hAnsi="Arial" w:cs="Arial"/>
          <w:sz w:val="21"/>
          <w:szCs w:val="21"/>
        </w:rPr>
        <w:t>appendix 3.</w:t>
      </w:r>
    </w:p>
    <w:p w:rsidR="00D649F1" w:rsidRPr="008A56F1" w:rsidRDefault="00D649F1" w:rsidP="00CC3D56">
      <w:pPr>
        <w:pStyle w:val="ListParagraph"/>
        <w:ind w:left="0"/>
        <w:contextualSpacing/>
        <w:jc w:val="both"/>
        <w:rPr>
          <w:rFonts w:ascii="Arial" w:hAnsi="Arial" w:cs="Arial"/>
          <w:sz w:val="21"/>
          <w:szCs w:val="21"/>
        </w:rPr>
      </w:pPr>
    </w:p>
    <w:p w:rsidR="008A56F1" w:rsidRDefault="00D649F1" w:rsidP="008A56F1">
      <w:pPr>
        <w:pStyle w:val="ListParagraph"/>
        <w:numPr>
          <w:ilvl w:val="0"/>
          <w:numId w:val="4"/>
        </w:numPr>
        <w:contextualSpacing/>
        <w:jc w:val="both"/>
        <w:rPr>
          <w:rFonts w:ascii="Arial" w:hAnsi="Arial" w:cs="Arial"/>
          <w:b/>
          <w:sz w:val="21"/>
          <w:szCs w:val="21"/>
        </w:rPr>
      </w:pPr>
      <w:r>
        <w:rPr>
          <w:rFonts w:ascii="Arial" w:hAnsi="Arial" w:cs="Arial"/>
          <w:b/>
          <w:sz w:val="21"/>
          <w:szCs w:val="21"/>
        </w:rPr>
        <w:t>High level data</w:t>
      </w:r>
    </w:p>
    <w:p w:rsidR="00DE3F70" w:rsidRDefault="00DE3F70" w:rsidP="00DE3F70">
      <w:pPr>
        <w:pStyle w:val="ListParagraph"/>
        <w:ind w:left="360"/>
        <w:contextualSpacing/>
        <w:jc w:val="both"/>
        <w:rPr>
          <w:rFonts w:ascii="Arial" w:hAnsi="Arial" w:cs="Arial"/>
          <w:b/>
          <w:sz w:val="21"/>
          <w:szCs w:val="21"/>
        </w:rPr>
      </w:pPr>
    </w:p>
    <w:tbl>
      <w:tblPr>
        <w:tblW w:w="58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1417"/>
      </w:tblGrid>
      <w:tr w:rsidR="00EE3D86" w:rsidRPr="00D31E6E" w:rsidTr="00EE3D86">
        <w:tc>
          <w:tcPr>
            <w:tcW w:w="4420" w:type="dxa"/>
            <w:shd w:val="clear" w:color="auto" w:fill="auto"/>
          </w:tcPr>
          <w:p w:rsidR="00EE3D86" w:rsidRPr="00D31E6E" w:rsidRDefault="00EE3D86" w:rsidP="00D31E6E">
            <w:pPr>
              <w:pStyle w:val="ListParagraph"/>
              <w:ind w:left="0"/>
              <w:contextualSpacing/>
              <w:jc w:val="both"/>
              <w:rPr>
                <w:rFonts w:ascii="Arial" w:hAnsi="Arial" w:cs="Arial"/>
                <w:b/>
                <w:sz w:val="21"/>
                <w:szCs w:val="21"/>
              </w:rPr>
            </w:pPr>
            <w:r w:rsidRPr="00D31E6E">
              <w:rPr>
                <w:rFonts w:ascii="Arial" w:hAnsi="Arial" w:cs="Arial"/>
                <w:sz w:val="16"/>
                <w:szCs w:val="15"/>
              </w:rPr>
              <w:t>Total number of doctors/dentists in training</w:t>
            </w:r>
          </w:p>
        </w:tc>
        <w:tc>
          <w:tcPr>
            <w:tcW w:w="1417" w:type="dxa"/>
            <w:shd w:val="clear" w:color="auto" w:fill="auto"/>
          </w:tcPr>
          <w:p w:rsidR="00EE3D86" w:rsidRPr="00483C61" w:rsidRDefault="008F37CE" w:rsidP="00EE3D86">
            <w:pPr>
              <w:pStyle w:val="ListParagraph"/>
              <w:ind w:left="0"/>
              <w:contextualSpacing/>
              <w:jc w:val="center"/>
              <w:rPr>
                <w:rFonts w:ascii="Arial" w:hAnsi="Arial" w:cs="Arial"/>
                <w:b/>
                <w:sz w:val="16"/>
                <w:szCs w:val="16"/>
              </w:rPr>
            </w:pPr>
            <w:r w:rsidRPr="00483C61">
              <w:rPr>
                <w:rFonts w:ascii="Arial" w:hAnsi="Arial" w:cs="Arial"/>
                <w:b/>
                <w:sz w:val="16"/>
                <w:szCs w:val="16"/>
              </w:rPr>
              <w:t>861</w:t>
            </w:r>
          </w:p>
        </w:tc>
      </w:tr>
      <w:tr w:rsidR="00EE3D86" w:rsidRPr="00D31E6E" w:rsidTr="00EE3D86">
        <w:tc>
          <w:tcPr>
            <w:tcW w:w="4420" w:type="dxa"/>
            <w:shd w:val="clear" w:color="auto" w:fill="auto"/>
          </w:tcPr>
          <w:p w:rsidR="00EE3D86" w:rsidRPr="00D31E6E" w:rsidRDefault="00EE3D86" w:rsidP="00D31E6E">
            <w:pPr>
              <w:pStyle w:val="ListParagraph"/>
              <w:ind w:left="0"/>
              <w:contextualSpacing/>
              <w:jc w:val="both"/>
              <w:rPr>
                <w:rFonts w:ascii="Arial" w:hAnsi="Arial" w:cs="Arial"/>
                <w:sz w:val="16"/>
                <w:szCs w:val="15"/>
              </w:rPr>
            </w:pPr>
            <w:r w:rsidRPr="00D31E6E">
              <w:rPr>
                <w:rFonts w:ascii="Arial" w:hAnsi="Arial" w:cs="Arial"/>
                <w:sz w:val="16"/>
                <w:szCs w:val="15"/>
              </w:rPr>
              <w:t>Total number of doctors/dentists in training on 2016 TCS</w:t>
            </w:r>
          </w:p>
        </w:tc>
        <w:tc>
          <w:tcPr>
            <w:tcW w:w="1417" w:type="dxa"/>
            <w:shd w:val="clear" w:color="auto" w:fill="auto"/>
          </w:tcPr>
          <w:p w:rsidR="00EE3D86" w:rsidRPr="00483C61" w:rsidRDefault="00C13E9D" w:rsidP="00EE3D86">
            <w:pPr>
              <w:pStyle w:val="ListParagraph"/>
              <w:ind w:left="0"/>
              <w:contextualSpacing/>
              <w:jc w:val="center"/>
              <w:rPr>
                <w:rFonts w:ascii="Arial" w:hAnsi="Arial" w:cs="Arial"/>
                <w:b/>
                <w:sz w:val="16"/>
                <w:szCs w:val="16"/>
              </w:rPr>
            </w:pPr>
            <w:r>
              <w:rPr>
                <w:rFonts w:ascii="Arial" w:hAnsi="Arial" w:cs="Arial"/>
                <w:b/>
                <w:sz w:val="16"/>
                <w:szCs w:val="16"/>
              </w:rPr>
              <w:t>616</w:t>
            </w:r>
          </w:p>
        </w:tc>
      </w:tr>
    </w:tbl>
    <w:p w:rsidR="00DE3F70" w:rsidRDefault="00DE3F70" w:rsidP="00DE3F70">
      <w:pPr>
        <w:pStyle w:val="ListParagraph"/>
        <w:ind w:left="360"/>
        <w:contextualSpacing/>
        <w:jc w:val="both"/>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1418"/>
      </w:tblGrid>
      <w:tr w:rsidR="00DE3F70" w:rsidRPr="00D31E6E" w:rsidTr="00D31E6E">
        <w:trPr>
          <w:trHeight w:val="443"/>
        </w:trPr>
        <w:tc>
          <w:tcPr>
            <w:tcW w:w="4426" w:type="dxa"/>
            <w:shd w:val="clear" w:color="auto" w:fill="auto"/>
          </w:tcPr>
          <w:p w:rsidR="00DE3F70" w:rsidRPr="00D31E6E" w:rsidRDefault="00DE3F70" w:rsidP="00D31E6E">
            <w:pPr>
              <w:pStyle w:val="ListParagraph"/>
              <w:ind w:left="0"/>
              <w:contextualSpacing/>
              <w:jc w:val="both"/>
              <w:rPr>
                <w:rFonts w:ascii="Arial" w:hAnsi="Arial" w:cs="Arial"/>
                <w:b/>
                <w:sz w:val="21"/>
                <w:szCs w:val="21"/>
              </w:rPr>
            </w:pPr>
            <w:r w:rsidRPr="00D31E6E">
              <w:rPr>
                <w:rFonts w:ascii="Arial" w:hAnsi="Arial" w:cs="Arial"/>
                <w:sz w:val="16"/>
                <w:szCs w:val="15"/>
              </w:rPr>
              <w:t>Amount of time available in job plan for Guardian to do the role</w:t>
            </w:r>
          </w:p>
        </w:tc>
        <w:tc>
          <w:tcPr>
            <w:tcW w:w="1418" w:type="dxa"/>
            <w:shd w:val="clear" w:color="auto" w:fill="auto"/>
          </w:tcPr>
          <w:p w:rsidR="00DE3F70" w:rsidRPr="00483C61" w:rsidRDefault="00DE3F70" w:rsidP="00EE3D86">
            <w:pPr>
              <w:pStyle w:val="ListParagraph"/>
              <w:ind w:left="0"/>
              <w:contextualSpacing/>
              <w:jc w:val="center"/>
              <w:rPr>
                <w:rFonts w:ascii="Arial" w:hAnsi="Arial" w:cs="Arial"/>
                <w:b/>
                <w:sz w:val="16"/>
                <w:szCs w:val="16"/>
              </w:rPr>
            </w:pPr>
            <w:r w:rsidRPr="00483C61">
              <w:rPr>
                <w:rFonts w:ascii="Arial" w:hAnsi="Arial" w:cs="Arial"/>
                <w:b/>
                <w:sz w:val="16"/>
                <w:szCs w:val="16"/>
              </w:rPr>
              <w:t>15 hrs</w:t>
            </w:r>
          </w:p>
        </w:tc>
      </w:tr>
      <w:tr w:rsidR="00DE3F70" w:rsidRPr="00D31E6E" w:rsidTr="00D31E6E">
        <w:tc>
          <w:tcPr>
            <w:tcW w:w="4426" w:type="dxa"/>
            <w:shd w:val="clear" w:color="auto" w:fill="auto"/>
          </w:tcPr>
          <w:p w:rsidR="00DE3F70" w:rsidRPr="00D31E6E" w:rsidRDefault="00DE3F70" w:rsidP="00D31E6E">
            <w:pPr>
              <w:pStyle w:val="ListParagraph"/>
              <w:ind w:left="0"/>
              <w:contextualSpacing/>
              <w:jc w:val="both"/>
              <w:rPr>
                <w:rFonts w:ascii="Arial" w:hAnsi="Arial" w:cs="Arial"/>
                <w:b/>
                <w:sz w:val="21"/>
                <w:szCs w:val="21"/>
              </w:rPr>
            </w:pPr>
            <w:r w:rsidRPr="00D31E6E">
              <w:rPr>
                <w:rFonts w:ascii="Arial" w:hAnsi="Arial" w:cs="Arial"/>
                <w:sz w:val="16"/>
                <w:szCs w:val="15"/>
              </w:rPr>
              <w:t>Admin support provided to the Guardian per week</w:t>
            </w:r>
          </w:p>
        </w:tc>
        <w:tc>
          <w:tcPr>
            <w:tcW w:w="1418" w:type="dxa"/>
            <w:shd w:val="clear" w:color="auto" w:fill="auto"/>
          </w:tcPr>
          <w:p w:rsidR="00DE3F70" w:rsidRPr="00483C61" w:rsidRDefault="00254530" w:rsidP="00EE3D86">
            <w:pPr>
              <w:pStyle w:val="ListParagraph"/>
              <w:ind w:left="0"/>
              <w:contextualSpacing/>
              <w:jc w:val="center"/>
              <w:rPr>
                <w:rFonts w:ascii="Arial" w:hAnsi="Arial" w:cs="Arial"/>
                <w:b/>
                <w:sz w:val="16"/>
                <w:szCs w:val="16"/>
              </w:rPr>
            </w:pPr>
            <w:r>
              <w:rPr>
                <w:rFonts w:ascii="Arial" w:hAnsi="Arial" w:cs="Arial"/>
                <w:b/>
                <w:sz w:val="16"/>
                <w:szCs w:val="16"/>
              </w:rPr>
              <w:t>15</w:t>
            </w:r>
            <w:r w:rsidR="00DE3F70" w:rsidRPr="00483C61">
              <w:rPr>
                <w:rFonts w:ascii="Arial" w:hAnsi="Arial" w:cs="Arial"/>
                <w:b/>
                <w:sz w:val="16"/>
                <w:szCs w:val="16"/>
              </w:rPr>
              <w:t xml:space="preserve"> hrs</w:t>
            </w:r>
          </w:p>
        </w:tc>
      </w:tr>
      <w:tr w:rsidR="00DE3F70" w:rsidRPr="00D31E6E" w:rsidTr="00D31E6E">
        <w:trPr>
          <w:trHeight w:val="332"/>
        </w:trPr>
        <w:tc>
          <w:tcPr>
            <w:tcW w:w="4426" w:type="dxa"/>
            <w:shd w:val="clear" w:color="auto" w:fill="auto"/>
          </w:tcPr>
          <w:p w:rsidR="00DE3F70" w:rsidRPr="00D31E6E" w:rsidRDefault="00DE3F70" w:rsidP="00D31E6E">
            <w:pPr>
              <w:pStyle w:val="ListParagraph"/>
              <w:ind w:left="0"/>
              <w:contextualSpacing/>
              <w:jc w:val="both"/>
              <w:rPr>
                <w:rFonts w:ascii="Arial" w:hAnsi="Arial" w:cs="Arial"/>
                <w:b/>
                <w:sz w:val="21"/>
                <w:szCs w:val="21"/>
              </w:rPr>
            </w:pPr>
            <w:r w:rsidRPr="00D31E6E">
              <w:rPr>
                <w:rFonts w:ascii="Arial" w:hAnsi="Arial" w:cs="Arial"/>
                <w:sz w:val="16"/>
                <w:szCs w:val="15"/>
              </w:rPr>
              <w:t>Amount of job planned time for education supervisors</w:t>
            </w:r>
          </w:p>
        </w:tc>
        <w:tc>
          <w:tcPr>
            <w:tcW w:w="1418" w:type="dxa"/>
            <w:shd w:val="clear" w:color="auto" w:fill="auto"/>
          </w:tcPr>
          <w:p w:rsidR="00DE3F70" w:rsidRPr="00483C61" w:rsidRDefault="00DE3F70" w:rsidP="00EE3D86">
            <w:pPr>
              <w:pStyle w:val="ListParagraph"/>
              <w:ind w:left="0"/>
              <w:contextualSpacing/>
              <w:jc w:val="center"/>
              <w:rPr>
                <w:rFonts w:ascii="Arial" w:hAnsi="Arial" w:cs="Arial"/>
                <w:b/>
                <w:sz w:val="16"/>
                <w:szCs w:val="16"/>
              </w:rPr>
            </w:pPr>
            <w:r w:rsidRPr="00483C61">
              <w:rPr>
                <w:rFonts w:ascii="Arial" w:hAnsi="Arial" w:cs="Arial"/>
                <w:b/>
                <w:sz w:val="16"/>
                <w:szCs w:val="16"/>
              </w:rPr>
              <w:t>0.25 PA</w:t>
            </w:r>
          </w:p>
        </w:tc>
      </w:tr>
    </w:tbl>
    <w:p w:rsidR="00D649F1" w:rsidRDefault="00D649F1" w:rsidP="00D649F1">
      <w:pPr>
        <w:pStyle w:val="ListParagraph"/>
        <w:ind w:left="360"/>
        <w:contextualSpacing/>
        <w:jc w:val="both"/>
        <w:rPr>
          <w:rFonts w:ascii="Arial" w:hAnsi="Arial" w:cs="Arial"/>
          <w:b/>
          <w:sz w:val="21"/>
          <w:szCs w:val="21"/>
        </w:rPr>
      </w:pPr>
    </w:p>
    <w:p w:rsidR="00E65885" w:rsidRPr="00D649F1" w:rsidRDefault="00E556BD" w:rsidP="00E556BD">
      <w:pPr>
        <w:pStyle w:val="ListParagraph"/>
        <w:ind w:left="360"/>
        <w:contextualSpacing/>
        <w:jc w:val="both"/>
        <w:rPr>
          <w:rFonts w:ascii="Arial" w:hAnsi="Arial" w:cs="Arial"/>
          <w:sz w:val="21"/>
          <w:szCs w:val="21"/>
        </w:rPr>
      </w:pPr>
      <w:r>
        <w:rPr>
          <w:rFonts w:ascii="Arial" w:hAnsi="Arial" w:cs="Arial"/>
          <w:sz w:val="21"/>
          <w:szCs w:val="21"/>
        </w:rPr>
        <w:br w:type="page"/>
      </w:r>
    </w:p>
    <w:p w:rsidR="00D649F1" w:rsidRDefault="00254530" w:rsidP="008A56F1">
      <w:pPr>
        <w:pStyle w:val="ListParagraph"/>
        <w:numPr>
          <w:ilvl w:val="0"/>
          <w:numId w:val="4"/>
        </w:numPr>
        <w:contextualSpacing/>
        <w:jc w:val="both"/>
        <w:rPr>
          <w:rFonts w:ascii="Arial" w:hAnsi="Arial" w:cs="Arial"/>
          <w:b/>
          <w:sz w:val="21"/>
          <w:szCs w:val="21"/>
        </w:rPr>
      </w:pPr>
      <w:r>
        <w:rPr>
          <w:rFonts w:ascii="Arial" w:hAnsi="Arial" w:cs="Arial"/>
          <w:b/>
          <w:sz w:val="21"/>
          <w:szCs w:val="21"/>
        </w:rPr>
        <w:lastRenderedPageBreak/>
        <w:t>Exception Reports (July – September</w:t>
      </w:r>
      <w:r w:rsidR="00304BD2">
        <w:rPr>
          <w:rFonts w:ascii="Arial" w:hAnsi="Arial" w:cs="Arial"/>
          <w:b/>
          <w:sz w:val="21"/>
          <w:szCs w:val="21"/>
        </w:rPr>
        <w:t xml:space="preserve"> 2019</w:t>
      </w:r>
      <w:r w:rsidR="00B51597">
        <w:rPr>
          <w:rFonts w:ascii="Arial" w:hAnsi="Arial" w:cs="Arial"/>
          <w:b/>
          <w:sz w:val="21"/>
          <w:szCs w:val="21"/>
        </w:rPr>
        <w:t>)</w:t>
      </w:r>
    </w:p>
    <w:p w:rsidR="00254530" w:rsidRDefault="00254530" w:rsidP="00254530">
      <w:pPr>
        <w:pStyle w:val="ListParagraph"/>
        <w:ind w:left="0"/>
        <w:contextualSpacing/>
        <w:jc w:val="both"/>
        <w:rPr>
          <w:rFonts w:ascii="Arial" w:hAnsi="Arial" w:cs="Arial"/>
          <w:b/>
          <w:sz w:val="21"/>
          <w:szCs w:val="21"/>
        </w:rPr>
      </w:pPr>
    </w:p>
    <w:p w:rsidR="00254530" w:rsidRDefault="00254530" w:rsidP="00254530">
      <w:pPr>
        <w:pStyle w:val="ListParagraph"/>
        <w:ind w:left="0"/>
        <w:contextualSpacing/>
        <w:jc w:val="both"/>
        <w:rPr>
          <w:rFonts w:ascii="Arial" w:hAnsi="Arial" w:cs="Arial"/>
          <w:b/>
          <w:sz w:val="21"/>
          <w:szCs w:val="21"/>
        </w:rPr>
      </w:pPr>
    </w:p>
    <w:p w:rsidR="00B51597" w:rsidRDefault="00B51597" w:rsidP="00B51597">
      <w:pPr>
        <w:pStyle w:val="ListParagraph"/>
        <w:ind w:left="360"/>
        <w:contextualSpacing/>
        <w:jc w:val="both"/>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943"/>
        <w:gridCol w:w="1268"/>
        <w:gridCol w:w="1542"/>
        <w:gridCol w:w="1268"/>
        <w:gridCol w:w="1457"/>
      </w:tblGrid>
      <w:tr w:rsidR="0040040D" w:rsidRPr="002829D6" w:rsidTr="00B311F9">
        <w:tc>
          <w:tcPr>
            <w:tcW w:w="684" w:type="dxa"/>
            <w:tcBorders>
              <w:right w:val="nil"/>
            </w:tcBorders>
            <w:shd w:val="clear" w:color="auto" w:fill="BFBFBF"/>
          </w:tcPr>
          <w:p w:rsidR="0040040D" w:rsidRPr="002829D6" w:rsidRDefault="0040040D"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t>3.1</w:t>
            </w:r>
          </w:p>
        </w:tc>
        <w:tc>
          <w:tcPr>
            <w:tcW w:w="7478" w:type="dxa"/>
            <w:gridSpan w:val="5"/>
            <w:tcBorders>
              <w:left w:val="nil"/>
            </w:tcBorders>
            <w:shd w:val="clear" w:color="auto" w:fill="BFBFBF"/>
            <w:vAlign w:val="center"/>
          </w:tcPr>
          <w:p w:rsidR="0040040D" w:rsidRPr="002829D6" w:rsidRDefault="00786C22" w:rsidP="002829D6">
            <w:pPr>
              <w:pStyle w:val="ListParagraph"/>
              <w:spacing w:before="60" w:after="60" w:line="240" w:lineRule="auto"/>
              <w:ind w:left="0"/>
              <w:contextualSpacing/>
              <w:rPr>
                <w:rFonts w:ascii="Arial" w:hAnsi="Arial" w:cs="Arial"/>
                <w:b/>
                <w:sz w:val="21"/>
                <w:szCs w:val="21"/>
              </w:rPr>
            </w:pPr>
            <w:r>
              <w:rPr>
                <w:rFonts w:ascii="Arial" w:hAnsi="Arial" w:cs="Arial"/>
                <w:b/>
                <w:sz w:val="21"/>
                <w:szCs w:val="21"/>
              </w:rPr>
              <w:t>Exception reports by speciality</w:t>
            </w:r>
            <w:r w:rsidR="009D6D61">
              <w:rPr>
                <w:rFonts w:ascii="Arial" w:hAnsi="Arial" w:cs="Arial"/>
                <w:b/>
                <w:sz w:val="21"/>
                <w:szCs w:val="21"/>
              </w:rPr>
              <w:t xml:space="preserve"> </w:t>
            </w:r>
          </w:p>
        </w:tc>
      </w:tr>
      <w:tr w:rsidR="009D6D61" w:rsidRPr="002829D6" w:rsidTr="00B311F9">
        <w:tc>
          <w:tcPr>
            <w:tcW w:w="684" w:type="dxa"/>
            <w:tcBorders>
              <w:right w:val="nil"/>
            </w:tcBorders>
            <w:shd w:val="clear" w:color="auto" w:fill="BFBFBF"/>
          </w:tcPr>
          <w:p w:rsidR="009D6D61" w:rsidRPr="002829D6" w:rsidRDefault="009D6D61" w:rsidP="002829D6">
            <w:pPr>
              <w:pStyle w:val="ListParagraph"/>
              <w:spacing w:before="60" w:after="60" w:line="240" w:lineRule="auto"/>
              <w:ind w:left="0"/>
              <w:contextualSpacing/>
              <w:jc w:val="both"/>
              <w:rPr>
                <w:rFonts w:ascii="Arial" w:hAnsi="Arial" w:cs="Arial"/>
                <w:b/>
                <w:sz w:val="21"/>
                <w:szCs w:val="21"/>
              </w:rPr>
            </w:pPr>
            <w:r>
              <w:rPr>
                <w:rFonts w:ascii="Arial" w:hAnsi="Arial" w:cs="Arial"/>
                <w:b/>
                <w:sz w:val="21"/>
                <w:szCs w:val="21"/>
              </w:rPr>
              <w:t xml:space="preserve">3.1.1  </w:t>
            </w:r>
          </w:p>
        </w:tc>
        <w:tc>
          <w:tcPr>
            <w:tcW w:w="7478" w:type="dxa"/>
            <w:gridSpan w:val="5"/>
            <w:tcBorders>
              <w:left w:val="nil"/>
            </w:tcBorders>
            <w:shd w:val="clear" w:color="auto" w:fill="BFBFBF"/>
            <w:vAlign w:val="center"/>
          </w:tcPr>
          <w:p w:rsidR="009D6D61" w:rsidRDefault="009D6D61" w:rsidP="002829D6">
            <w:pPr>
              <w:pStyle w:val="ListParagraph"/>
              <w:spacing w:before="60" w:after="60" w:line="240" w:lineRule="auto"/>
              <w:ind w:left="0"/>
              <w:contextualSpacing/>
              <w:rPr>
                <w:rFonts w:ascii="Arial" w:hAnsi="Arial" w:cs="Arial"/>
                <w:b/>
                <w:sz w:val="21"/>
                <w:szCs w:val="21"/>
              </w:rPr>
            </w:pPr>
            <w:r>
              <w:rPr>
                <w:rFonts w:ascii="Arial" w:hAnsi="Arial" w:cs="Arial"/>
                <w:b/>
                <w:sz w:val="21"/>
                <w:szCs w:val="21"/>
              </w:rPr>
              <w:t>Oxford Road Campus (ORC)</w:t>
            </w:r>
          </w:p>
        </w:tc>
      </w:tr>
      <w:tr w:rsidR="00B51597" w:rsidRPr="002829D6" w:rsidTr="00B311F9">
        <w:tc>
          <w:tcPr>
            <w:tcW w:w="2627" w:type="dxa"/>
            <w:gridSpan w:val="2"/>
            <w:shd w:val="clear" w:color="auto" w:fill="auto"/>
            <w:vAlign w:val="center"/>
          </w:tcPr>
          <w:p w:rsidR="00B51597" w:rsidRPr="002829D6" w:rsidRDefault="00B51597"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268" w:type="dxa"/>
            <w:shd w:val="clear" w:color="auto" w:fill="auto"/>
            <w:vAlign w:val="center"/>
          </w:tcPr>
          <w:p w:rsidR="00B51597" w:rsidRPr="002829D6" w:rsidRDefault="00B51597"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carried over from last report</w:t>
            </w:r>
          </w:p>
        </w:tc>
        <w:tc>
          <w:tcPr>
            <w:tcW w:w="1542" w:type="dxa"/>
            <w:shd w:val="clear" w:color="auto" w:fill="auto"/>
            <w:vAlign w:val="center"/>
          </w:tcPr>
          <w:p w:rsidR="00B51597" w:rsidRPr="002829D6" w:rsidRDefault="00B51597"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raised</w:t>
            </w:r>
            <w:r w:rsidR="00632B5F">
              <w:rPr>
                <w:rFonts w:ascii="Arial" w:hAnsi="Arial" w:cs="Arial"/>
                <w:b/>
                <w:sz w:val="16"/>
                <w:szCs w:val="16"/>
              </w:rPr>
              <w:t xml:space="preserve"> in this qua</w:t>
            </w:r>
            <w:r w:rsidR="00C3387B">
              <w:rPr>
                <w:rFonts w:ascii="Arial" w:hAnsi="Arial" w:cs="Arial"/>
                <w:b/>
                <w:sz w:val="16"/>
                <w:szCs w:val="16"/>
              </w:rPr>
              <w:t>r</w:t>
            </w:r>
            <w:r w:rsidR="00632B5F">
              <w:rPr>
                <w:rFonts w:ascii="Arial" w:hAnsi="Arial" w:cs="Arial"/>
                <w:b/>
                <w:sz w:val="16"/>
                <w:szCs w:val="16"/>
              </w:rPr>
              <w:t>ter</w:t>
            </w:r>
          </w:p>
        </w:tc>
        <w:tc>
          <w:tcPr>
            <w:tcW w:w="1268" w:type="dxa"/>
            <w:shd w:val="clear" w:color="auto" w:fill="auto"/>
            <w:vAlign w:val="center"/>
          </w:tcPr>
          <w:p w:rsidR="00B51597" w:rsidRPr="002829D6" w:rsidRDefault="00B51597"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closed</w:t>
            </w:r>
          </w:p>
        </w:tc>
        <w:tc>
          <w:tcPr>
            <w:tcW w:w="1457" w:type="dxa"/>
            <w:shd w:val="clear" w:color="auto" w:fill="auto"/>
            <w:vAlign w:val="center"/>
          </w:tcPr>
          <w:p w:rsidR="00B51597" w:rsidRPr="002829D6" w:rsidRDefault="00B51597"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outstanding</w:t>
            </w:r>
          </w:p>
        </w:tc>
      </w:tr>
      <w:tr w:rsidR="0040040D" w:rsidRPr="002829D6" w:rsidTr="00B311F9">
        <w:tc>
          <w:tcPr>
            <w:tcW w:w="2627" w:type="dxa"/>
            <w:gridSpan w:val="2"/>
            <w:shd w:val="clear" w:color="auto" w:fill="auto"/>
            <w:vAlign w:val="center"/>
          </w:tcPr>
          <w:p w:rsidR="0040040D" w:rsidRPr="002829D6" w:rsidRDefault="00786C22"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Medicine</w:t>
            </w:r>
          </w:p>
        </w:tc>
        <w:tc>
          <w:tcPr>
            <w:tcW w:w="1268" w:type="dxa"/>
            <w:shd w:val="clear" w:color="auto" w:fill="auto"/>
            <w:vAlign w:val="center"/>
          </w:tcPr>
          <w:p w:rsidR="0040040D" w:rsidRPr="002829D6"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40040D" w:rsidRPr="002829D6" w:rsidRDefault="00CD3522"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w:t>
            </w:r>
          </w:p>
        </w:tc>
        <w:tc>
          <w:tcPr>
            <w:tcW w:w="1268" w:type="dxa"/>
            <w:shd w:val="clear" w:color="auto" w:fill="auto"/>
            <w:vAlign w:val="center"/>
          </w:tcPr>
          <w:p w:rsidR="0040040D" w:rsidRPr="00483C61" w:rsidRDefault="00CD3522"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457" w:type="dxa"/>
            <w:shd w:val="clear" w:color="auto" w:fill="auto"/>
            <w:vAlign w:val="center"/>
          </w:tcPr>
          <w:p w:rsidR="0040040D" w:rsidRPr="00483C61"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r>
      <w:tr w:rsidR="00B311F9" w:rsidRPr="002829D6" w:rsidTr="00B311F9">
        <w:tc>
          <w:tcPr>
            <w:tcW w:w="2627" w:type="dxa"/>
            <w:gridSpan w:val="2"/>
            <w:shd w:val="clear" w:color="auto" w:fill="auto"/>
            <w:vAlign w:val="center"/>
          </w:tcPr>
          <w:p w:rsidR="00B311F9" w:rsidRPr="00620B8F" w:rsidRDefault="00B311F9"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Gastroenterology</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B311F9" w:rsidRDefault="00CD3522"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23</w:t>
            </w:r>
          </w:p>
        </w:tc>
        <w:tc>
          <w:tcPr>
            <w:tcW w:w="1268" w:type="dxa"/>
            <w:shd w:val="clear" w:color="auto" w:fill="auto"/>
            <w:vAlign w:val="center"/>
          </w:tcPr>
          <w:p w:rsidR="00B311F9" w:rsidRDefault="00CD3522"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1457"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r>
      <w:tr w:rsidR="00B311F9" w:rsidRPr="002829D6" w:rsidTr="00B311F9">
        <w:tc>
          <w:tcPr>
            <w:tcW w:w="2627" w:type="dxa"/>
            <w:gridSpan w:val="2"/>
            <w:shd w:val="clear" w:color="auto" w:fill="auto"/>
            <w:vAlign w:val="center"/>
          </w:tcPr>
          <w:p w:rsidR="00B311F9" w:rsidRPr="00620B8F" w:rsidRDefault="00B311F9"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Respiratory medicine</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p>
        </w:tc>
        <w:tc>
          <w:tcPr>
            <w:tcW w:w="1457"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311F9" w:rsidRPr="002829D6" w:rsidTr="00B311F9">
        <w:tc>
          <w:tcPr>
            <w:tcW w:w="2627" w:type="dxa"/>
            <w:gridSpan w:val="2"/>
            <w:shd w:val="clear" w:color="auto" w:fill="auto"/>
            <w:vAlign w:val="center"/>
          </w:tcPr>
          <w:p w:rsidR="00B311F9" w:rsidRPr="00620B8F" w:rsidRDefault="00B311F9"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Cardiology</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1457"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40040D" w:rsidRPr="002829D6" w:rsidTr="00B311F9">
        <w:tc>
          <w:tcPr>
            <w:tcW w:w="2627" w:type="dxa"/>
            <w:gridSpan w:val="2"/>
            <w:shd w:val="clear" w:color="auto" w:fill="auto"/>
            <w:vAlign w:val="center"/>
          </w:tcPr>
          <w:p w:rsidR="0040040D" w:rsidRPr="00620B8F" w:rsidRDefault="00B311F9"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Rheumatology</w:t>
            </w:r>
          </w:p>
        </w:tc>
        <w:tc>
          <w:tcPr>
            <w:tcW w:w="1268" w:type="dxa"/>
            <w:shd w:val="clear" w:color="auto" w:fill="auto"/>
            <w:vAlign w:val="center"/>
          </w:tcPr>
          <w:p w:rsidR="0040040D" w:rsidRPr="002829D6"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40040D" w:rsidRPr="002829D6"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268" w:type="dxa"/>
            <w:shd w:val="clear" w:color="auto" w:fill="auto"/>
            <w:vAlign w:val="center"/>
          </w:tcPr>
          <w:p w:rsidR="0040040D" w:rsidRPr="00483C61"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457" w:type="dxa"/>
            <w:shd w:val="clear" w:color="auto" w:fill="auto"/>
            <w:vAlign w:val="center"/>
          </w:tcPr>
          <w:p w:rsidR="0040040D" w:rsidRPr="00483C61"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40040D" w:rsidRPr="002829D6" w:rsidTr="00B311F9">
        <w:tc>
          <w:tcPr>
            <w:tcW w:w="2627" w:type="dxa"/>
            <w:gridSpan w:val="2"/>
            <w:shd w:val="clear" w:color="auto" w:fill="auto"/>
            <w:vAlign w:val="center"/>
          </w:tcPr>
          <w:p w:rsidR="0040040D" w:rsidRPr="00620B8F" w:rsidRDefault="00CA1A67"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Renal medicine</w:t>
            </w:r>
          </w:p>
        </w:tc>
        <w:tc>
          <w:tcPr>
            <w:tcW w:w="1268" w:type="dxa"/>
            <w:shd w:val="clear" w:color="auto" w:fill="auto"/>
            <w:vAlign w:val="center"/>
          </w:tcPr>
          <w:p w:rsidR="0040040D" w:rsidRPr="002829D6"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40040D" w:rsidRPr="002829D6" w:rsidRDefault="00B11BE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w:t>
            </w:r>
          </w:p>
        </w:tc>
        <w:tc>
          <w:tcPr>
            <w:tcW w:w="1268" w:type="dxa"/>
            <w:shd w:val="clear" w:color="auto" w:fill="auto"/>
            <w:vAlign w:val="center"/>
          </w:tcPr>
          <w:p w:rsidR="0040040D" w:rsidRPr="002829D6" w:rsidRDefault="0033702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1457" w:type="dxa"/>
            <w:shd w:val="clear" w:color="auto" w:fill="auto"/>
            <w:vAlign w:val="center"/>
          </w:tcPr>
          <w:p w:rsidR="0040040D" w:rsidRPr="002829D6" w:rsidRDefault="0033702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r>
      <w:tr w:rsidR="00B11BEB" w:rsidRPr="002829D6" w:rsidTr="00B311F9">
        <w:tc>
          <w:tcPr>
            <w:tcW w:w="2627" w:type="dxa"/>
            <w:gridSpan w:val="2"/>
            <w:shd w:val="clear" w:color="auto" w:fill="auto"/>
            <w:vAlign w:val="center"/>
          </w:tcPr>
          <w:p w:rsidR="00B11BEB" w:rsidRPr="00620B8F" w:rsidRDefault="00B311F9"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HPB</w:t>
            </w:r>
          </w:p>
        </w:tc>
        <w:tc>
          <w:tcPr>
            <w:tcW w:w="1268" w:type="dxa"/>
            <w:shd w:val="clear" w:color="auto" w:fill="auto"/>
            <w:vAlign w:val="center"/>
          </w:tcPr>
          <w:p w:rsidR="00B11BEB"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B11BEB" w:rsidRPr="002829D6"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13</w:t>
            </w:r>
          </w:p>
        </w:tc>
        <w:tc>
          <w:tcPr>
            <w:tcW w:w="1268" w:type="dxa"/>
            <w:shd w:val="clear" w:color="auto" w:fill="auto"/>
            <w:vAlign w:val="center"/>
          </w:tcPr>
          <w:p w:rsidR="00B11BEB" w:rsidRPr="002829D6"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w:t>
            </w:r>
          </w:p>
        </w:tc>
        <w:tc>
          <w:tcPr>
            <w:tcW w:w="1457" w:type="dxa"/>
            <w:shd w:val="clear" w:color="auto" w:fill="auto"/>
            <w:vAlign w:val="center"/>
          </w:tcPr>
          <w:p w:rsidR="00B11BEB" w:rsidRPr="002829D6"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r>
      <w:tr w:rsidR="00B311F9" w:rsidRPr="002829D6" w:rsidTr="00B311F9">
        <w:tc>
          <w:tcPr>
            <w:tcW w:w="2627" w:type="dxa"/>
            <w:gridSpan w:val="2"/>
            <w:shd w:val="clear" w:color="auto" w:fill="auto"/>
            <w:vAlign w:val="center"/>
          </w:tcPr>
          <w:p w:rsidR="00B311F9" w:rsidRPr="00620B8F" w:rsidRDefault="00B311F9"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Colorectal surgery</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18</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16</w:t>
            </w:r>
          </w:p>
        </w:tc>
        <w:tc>
          <w:tcPr>
            <w:tcW w:w="1457"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B311F9" w:rsidRPr="002829D6" w:rsidTr="00B311F9">
        <w:tc>
          <w:tcPr>
            <w:tcW w:w="2627" w:type="dxa"/>
            <w:gridSpan w:val="2"/>
            <w:shd w:val="clear" w:color="auto" w:fill="auto"/>
            <w:vAlign w:val="center"/>
          </w:tcPr>
          <w:p w:rsidR="00B311F9" w:rsidRPr="00620B8F" w:rsidRDefault="00B311F9"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Vascular surgery</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457"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311F9" w:rsidRPr="002829D6" w:rsidTr="00B311F9">
        <w:tc>
          <w:tcPr>
            <w:tcW w:w="2627" w:type="dxa"/>
            <w:gridSpan w:val="2"/>
            <w:shd w:val="clear" w:color="auto" w:fill="auto"/>
            <w:vAlign w:val="center"/>
          </w:tcPr>
          <w:p w:rsidR="00B311F9" w:rsidRPr="00620B8F" w:rsidRDefault="00B311F9"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Trauma &amp; Orthopaedics</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42"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268"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457" w:type="dxa"/>
            <w:shd w:val="clear" w:color="auto" w:fill="auto"/>
            <w:vAlign w:val="center"/>
          </w:tcPr>
          <w:p w:rsidR="00B311F9" w:rsidRDefault="00B311F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40040D" w:rsidRPr="002829D6" w:rsidTr="00B311F9">
        <w:tc>
          <w:tcPr>
            <w:tcW w:w="2627" w:type="dxa"/>
            <w:gridSpan w:val="2"/>
            <w:shd w:val="clear" w:color="auto" w:fill="auto"/>
            <w:vAlign w:val="center"/>
          </w:tcPr>
          <w:p w:rsidR="0040040D" w:rsidRPr="00620B8F" w:rsidRDefault="00786C22"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Ophthalmology</w:t>
            </w:r>
          </w:p>
        </w:tc>
        <w:tc>
          <w:tcPr>
            <w:tcW w:w="1268" w:type="dxa"/>
            <w:shd w:val="clear" w:color="auto" w:fill="auto"/>
            <w:vAlign w:val="center"/>
          </w:tcPr>
          <w:p w:rsidR="0040040D" w:rsidRPr="002829D6"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40040D" w:rsidRPr="002829D6" w:rsidRDefault="00B11BE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268" w:type="dxa"/>
            <w:shd w:val="clear" w:color="auto" w:fill="auto"/>
            <w:vAlign w:val="center"/>
          </w:tcPr>
          <w:p w:rsidR="0040040D" w:rsidRPr="002829D6" w:rsidRDefault="0033702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457" w:type="dxa"/>
            <w:shd w:val="clear" w:color="auto" w:fill="auto"/>
            <w:vAlign w:val="center"/>
          </w:tcPr>
          <w:p w:rsidR="0040040D" w:rsidRPr="002829D6" w:rsidRDefault="0033702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04BD2" w:rsidRPr="002829D6" w:rsidTr="00B311F9">
        <w:tc>
          <w:tcPr>
            <w:tcW w:w="2627" w:type="dxa"/>
            <w:gridSpan w:val="2"/>
            <w:shd w:val="clear" w:color="auto" w:fill="auto"/>
            <w:vAlign w:val="center"/>
          </w:tcPr>
          <w:p w:rsidR="00304BD2" w:rsidRPr="00620B8F" w:rsidRDefault="00CA1A67"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Paediatric</w:t>
            </w:r>
          </w:p>
        </w:tc>
        <w:tc>
          <w:tcPr>
            <w:tcW w:w="1268" w:type="dxa"/>
            <w:shd w:val="clear" w:color="auto" w:fill="auto"/>
            <w:vAlign w:val="center"/>
          </w:tcPr>
          <w:p w:rsidR="00304BD2" w:rsidRPr="002829D6"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304BD2" w:rsidRPr="002829D6" w:rsidRDefault="006B49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r w:rsidR="000D6641">
              <w:rPr>
                <w:rFonts w:ascii="Arial" w:hAnsi="Arial" w:cs="Arial"/>
                <w:sz w:val="16"/>
                <w:szCs w:val="16"/>
              </w:rPr>
              <w:t>6</w:t>
            </w:r>
          </w:p>
        </w:tc>
        <w:tc>
          <w:tcPr>
            <w:tcW w:w="1268" w:type="dxa"/>
            <w:shd w:val="clear" w:color="auto" w:fill="auto"/>
            <w:vAlign w:val="center"/>
          </w:tcPr>
          <w:p w:rsidR="00304BD2"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25</w:t>
            </w:r>
          </w:p>
        </w:tc>
        <w:tc>
          <w:tcPr>
            <w:tcW w:w="1457" w:type="dxa"/>
            <w:shd w:val="clear" w:color="auto" w:fill="auto"/>
            <w:vAlign w:val="center"/>
          </w:tcPr>
          <w:p w:rsidR="00304BD2"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E0648A" w:rsidRPr="002829D6" w:rsidTr="00B311F9">
        <w:tc>
          <w:tcPr>
            <w:tcW w:w="2627" w:type="dxa"/>
            <w:gridSpan w:val="2"/>
            <w:shd w:val="clear" w:color="auto" w:fill="auto"/>
            <w:vAlign w:val="center"/>
          </w:tcPr>
          <w:p w:rsidR="00E0648A" w:rsidRPr="00620B8F" w:rsidRDefault="00CA1A67" w:rsidP="002829D6">
            <w:pPr>
              <w:pStyle w:val="ListParagraph"/>
              <w:spacing w:before="60" w:after="60" w:line="240" w:lineRule="auto"/>
              <w:ind w:left="0"/>
              <w:contextualSpacing/>
              <w:rPr>
                <w:rFonts w:ascii="Arial" w:hAnsi="Arial" w:cs="Arial"/>
                <w:sz w:val="16"/>
                <w:szCs w:val="16"/>
              </w:rPr>
            </w:pPr>
            <w:r w:rsidRPr="00620B8F">
              <w:rPr>
                <w:rFonts w:ascii="Arial" w:hAnsi="Arial" w:cs="Arial"/>
                <w:sz w:val="16"/>
                <w:szCs w:val="16"/>
              </w:rPr>
              <w:t>CAMHS</w:t>
            </w:r>
          </w:p>
        </w:tc>
        <w:tc>
          <w:tcPr>
            <w:tcW w:w="1268" w:type="dxa"/>
            <w:shd w:val="clear" w:color="auto" w:fill="auto"/>
            <w:vAlign w:val="center"/>
          </w:tcPr>
          <w:p w:rsidR="00E0648A" w:rsidRPr="002829D6"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E0648A" w:rsidRPr="002829D6" w:rsidRDefault="00B11BE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1268" w:type="dxa"/>
            <w:shd w:val="clear" w:color="auto" w:fill="auto"/>
            <w:vAlign w:val="center"/>
          </w:tcPr>
          <w:p w:rsidR="00E0648A" w:rsidRPr="002829D6" w:rsidRDefault="006B49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1457" w:type="dxa"/>
            <w:shd w:val="clear" w:color="auto" w:fill="auto"/>
            <w:vAlign w:val="center"/>
          </w:tcPr>
          <w:p w:rsidR="00E0648A" w:rsidRPr="002829D6" w:rsidRDefault="006B49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2A5827" w:rsidRPr="002829D6" w:rsidTr="00B311F9">
        <w:tc>
          <w:tcPr>
            <w:tcW w:w="2627" w:type="dxa"/>
            <w:gridSpan w:val="2"/>
            <w:shd w:val="clear" w:color="auto" w:fill="auto"/>
            <w:vAlign w:val="center"/>
          </w:tcPr>
          <w:p w:rsidR="002A5827" w:rsidRDefault="002A5827"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Obstetrics and Gynaecology</w:t>
            </w:r>
          </w:p>
        </w:tc>
        <w:tc>
          <w:tcPr>
            <w:tcW w:w="1268" w:type="dxa"/>
            <w:shd w:val="clear" w:color="auto" w:fill="auto"/>
            <w:vAlign w:val="center"/>
          </w:tcPr>
          <w:p w:rsidR="002A5827"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2A5827" w:rsidRDefault="00B11BE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c>
          <w:tcPr>
            <w:tcW w:w="1268" w:type="dxa"/>
            <w:shd w:val="clear" w:color="auto" w:fill="auto"/>
            <w:vAlign w:val="center"/>
          </w:tcPr>
          <w:p w:rsidR="002A5827" w:rsidRDefault="0033702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c>
          <w:tcPr>
            <w:tcW w:w="1457" w:type="dxa"/>
            <w:shd w:val="clear" w:color="auto" w:fill="auto"/>
            <w:vAlign w:val="center"/>
          </w:tcPr>
          <w:p w:rsidR="002A5827" w:rsidRDefault="0033702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40040D" w:rsidRPr="002829D6" w:rsidTr="00B311F9">
        <w:tc>
          <w:tcPr>
            <w:tcW w:w="2627" w:type="dxa"/>
            <w:gridSpan w:val="2"/>
            <w:shd w:val="clear" w:color="auto" w:fill="auto"/>
            <w:vAlign w:val="center"/>
          </w:tcPr>
          <w:p w:rsidR="0040040D" w:rsidRPr="002829D6" w:rsidRDefault="0040040D"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1268" w:type="dxa"/>
            <w:shd w:val="clear" w:color="auto" w:fill="auto"/>
            <w:vAlign w:val="center"/>
          </w:tcPr>
          <w:p w:rsidR="0040040D" w:rsidRPr="002829D6" w:rsidRDefault="0087663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w:t>
            </w:r>
          </w:p>
        </w:tc>
        <w:tc>
          <w:tcPr>
            <w:tcW w:w="1542" w:type="dxa"/>
            <w:shd w:val="clear" w:color="auto" w:fill="auto"/>
            <w:vAlign w:val="center"/>
          </w:tcPr>
          <w:p w:rsidR="0040040D" w:rsidRPr="002829D6" w:rsidRDefault="00337028"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w:t>
            </w:r>
            <w:r w:rsidR="00A45D70">
              <w:rPr>
                <w:rFonts w:ascii="Arial" w:hAnsi="Arial" w:cs="Arial"/>
                <w:b/>
                <w:sz w:val="16"/>
                <w:szCs w:val="16"/>
              </w:rPr>
              <w:t>18</w:t>
            </w:r>
          </w:p>
        </w:tc>
        <w:tc>
          <w:tcPr>
            <w:tcW w:w="1268"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101</w:t>
            </w:r>
          </w:p>
        </w:tc>
        <w:tc>
          <w:tcPr>
            <w:tcW w:w="1457"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18</w:t>
            </w:r>
          </w:p>
        </w:tc>
      </w:tr>
    </w:tbl>
    <w:p w:rsidR="0026067D" w:rsidRDefault="0026067D" w:rsidP="0048644D">
      <w:pPr>
        <w:contextualSpacing/>
        <w:jc w:val="both"/>
        <w:rPr>
          <w:noProof/>
          <w:lang w:eastAsia="en-GB"/>
        </w:rPr>
      </w:pPr>
    </w:p>
    <w:p w:rsidR="00BC1EC0" w:rsidRDefault="00BC1EC0" w:rsidP="0048644D">
      <w:pPr>
        <w:contextualSpacing/>
        <w:jc w:val="both"/>
        <w:rPr>
          <w:noProof/>
          <w:lang w:eastAsia="en-GB"/>
        </w:rPr>
      </w:pPr>
    </w:p>
    <w:p w:rsidR="00BC1EC0" w:rsidRDefault="00BC1EC0" w:rsidP="0048644D">
      <w:pPr>
        <w:contextualSpacing/>
        <w:jc w:val="both"/>
        <w:rPr>
          <w:noProof/>
          <w:lang w:eastAsia="en-GB"/>
        </w:rPr>
      </w:pPr>
    </w:p>
    <w:p w:rsidR="00BC1EC0" w:rsidRDefault="00BC1EC0" w:rsidP="0048644D">
      <w:pPr>
        <w:contextualSpacing/>
        <w:jc w:val="both"/>
        <w:rPr>
          <w:noProof/>
          <w:lang w:eastAsia="en-GB"/>
        </w:rPr>
      </w:pPr>
      <w:r>
        <w:rPr>
          <w:noProof/>
          <w:lang w:eastAsia="en-GB"/>
        </w:rPr>
        <w:drawing>
          <wp:inline distT="0" distB="0" distL="0" distR="0">
            <wp:extent cx="5271715" cy="3864334"/>
            <wp:effectExtent l="0" t="0" r="24765"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6454" w:rsidRDefault="00CC6454" w:rsidP="00CC6454">
      <w:pPr>
        <w:contextualSpacing/>
        <w:jc w:val="both"/>
        <w:rPr>
          <w:noProof/>
          <w:lang w:eastAsia="en-GB"/>
        </w:rPr>
      </w:pPr>
    </w:p>
    <w:p w:rsidR="0081492D" w:rsidRDefault="003D0347" w:rsidP="00CC6454">
      <w:pPr>
        <w:contextualSpacing/>
        <w:jc w:val="both"/>
        <w:rPr>
          <w:noProof/>
          <w:lang w:eastAsia="en-GB"/>
        </w:rPr>
      </w:pPr>
      <w:r>
        <w:rPr>
          <w:noProof/>
          <w:lang w:eastAsia="en-GB"/>
        </w:rPr>
        <w:lastRenderedPageBreak/>
        <w:t>The</w:t>
      </w:r>
      <w:r w:rsidR="008E2000">
        <w:rPr>
          <w:noProof/>
          <w:lang w:eastAsia="en-GB"/>
        </w:rPr>
        <w:t>re has been an increase in the number of exception submitted in Medicine, Surgery and Paediatrics at ORC in this quarter.</w:t>
      </w:r>
      <w:r w:rsidR="00F85F06">
        <w:rPr>
          <w:noProof/>
          <w:lang w:eastAsia="en-GB"/>
        </w:rPr>
        <w:t xml:space="preserve"> Further details are provided below.</w:t>
      </w:r>
    </w:p>
    <w:p w:rsidR="008E2000" w:rsidRDefault="008E2000" w:rsidP="00B51597">
      <w:pPr>
        <w:pStyle w:val="ListParagraph"/>
        <w:ind w:left="360"/>
        <w:contextualSpacing/>
        <w:jc w:val="both"/>
        <w:rPr>
          <w:noProof/>
          <w:lang w:eastAsia="en-GB"/>
        </w:rPr>
      </w:pPr>
    </w:p>
    <w:p w:rsidR="008E2000" w:rsidRPr="00C00EC2" w:rsidRDefault="008E2000" w:rsidP="00B51597">
      <w:pPr>
        <w:pStyle w:val="ListParagraph"/>
        <w:ind w:left="360"/>
        <w:contextualSpacing/>
        <w:jc w:val="both"/>
        <w:rPr>
          <w:b/>
          <w:noProof/>
          <w:lang w:eastAsia="en-GB"/>
        </w:rPr>
      </w:pPr>
      <w:r w:rsidRPr="00C00EC2">
        <w:rPr>
          <w:b/>
          <w:noProof/>
          <w:lang w:eastAsia="en-GB"/>
        </w:rPr>
        <w:t>Paediatrics.</w:t>
      </w:r>
    </w:p>
    <w:p w:rsidR="0081492D" w:rsidRDefault="00C00EC2" w:rsidP="00B51597">
      <w:pPr>
        <w:pStyle w:val="ListParagraph"/>
        <w:ind w:left="360"/>
        <w:contextualSpacing/>
        <w:jc w:val="both"/>
        <w:rPr>
          <w:noProof/>
          <w:lang w:eastAsia="en-GB"/>
        </w:rPr>
      </w:pPr>
      <w:r>
        <w:rPr>
          <w:noProof/>
          <w:lang w:eastAsia="en-GB"/>
        </w:rPr>
        <w:t xml:space="preserve">20 of the 26 exception reports  have been submitted </w:t>
      </w:r>
      <w:r w:rsidR="00E56011">
        <w:rPr>
          <w:noProof/>
          <w:lang w:eastAsia="en-GB"/>
        </w:rPr>
        <w:t xml:space="preserve">by one trainee </w:t>
      </w:r>
      <w:r>
        <w:rPr>
          <w:noProof/>
          <w:lang w:eastAsia="en-GB"/>
        </w:rPr>
        <w:t xml:space="preserve">during the last 2 weeks of September </w:t>
      </w:r>
      <w:r w:rsidR="00F4619E">
        <w:rPr>
          <w:noProof/>
          <w:lang w:eastAsia="en-GB"/>
        </w:rPr>
        <w:t>primarily prompted by difficulties experienced as a result of low staffing</w:t>
      </w:r>
      <w:r w:rsidR="00E56011">
        <w:rPr>
          <w:noProof/>
          <w:lang w:eastAsia="en-GB"/>
        </w:rPr>
        <w:t xml:space="preserve"> </w:t>
      </w:r>
      <w:r w:rsidR="00F4619E">
        <w:rPr>
          <w:noProof/>
          <w:lang w:eastAsia="en-GB"/>
        </w:rPr>
        <w:t>.</w:t>
      </w:r>
    </w:p>
    <w:p w:rsidR="00F4619E" w:rsidRDefault="00F4619E" w:rsidP="00B51597">
      <w:pPr>
        <w:pStyle w:val="ListParagraph"/>
        <w:ind w:left="360"/>
        <w:contextualSpacing/>
        <w:jc w:val="both"/>
        <w:rPr>
          <w:noProof/>
          <w:lang w:eastAsia="en-GB"/>
        </w:rPr>
      </w:pPr>
      <w:r>
        <w:rPr>
          <w:noProof/>
          <w:lang w:eastAsia="en-GB"/>
        </w:rPr>
        <w:t>In addition to working in excess of the hours identified in the workschedule, the trainee was unable to attend the  planned t</w:t>
      </w:r>
      <w:r w:rsidR="00E56011">
        <w:rPr>
          <w:noProof/>
          <w:lang w:eastAsia="en-GB"/>
        </w:rPr>
        <w:t>eachin</w:t>
      </w:r>
      <w:r>
        <w:rPr>
          <w:noProof/>
          <w:lang w:eastAsia="en-GB"/>
        </w:rPr>
        <w:t>g sessions  and was also unable to take some of their breaks.</w:t>
      </w:r>
    </w:p>
    <w:p w:rsidR="00E56011" w:rsidRDefault="00BA616E" w:rsidP="00B51597">
      <w:pPr>
        <w:pStyle w:val="ListParagraph"/>
        <w:ind w:left="360"/>
        <w:contextualSpacing/>
        <w:jc w:val="both"/>
        <w:rPr>
          <w:noProof/>
          <w:lang w:eastAsia="en-GB"/>
        </w:rPr>
      </w:pPr>
      <w:r>
        <w:rPr>
          <w:noProof/>
          <w:lang w:eastAsia="en-GB"/>
        </w:rPr>
        <w:t>I understand that an additio</w:t>
      </w:r>
      <w:r w:rsidR="00E56011">
        <w:rPr>
          <w:noProof/>
          <w:lang w:eastAsia="en-GB"/>
        </w:rPr>
        <w:t>nal doc</w:t>
      </w:r>
      <w:r w:rsidR="003D0347">
        <w:rPr>
          <w:noProof/>
          <w:lang w:eastAsia="en-GB"/>
        </w:rPr>
        <w:t>tor has been appointed to start</w:t>
      </w:r>
      <w:r w:rsidR="00E56011">
        <w:rPr>
          <w:noProof/>
          <w:lang w:eastAsia="en-GB"/>
        </w:rPr>
        <w:t xml:space="preserve"> in December 2019 which will improve the staffing situation. </w:t>
      </w:r>
      <w:r w:rsidR="001A1937">
        <w:rPr>
          <w:noProof/>
          <w:lang w:eastAsia="en-GB"/>
        </w:rPr>
        <w:t>In the meantime the  e</w:t>
      </w:r>
      <w:r w:rsidR="00E56011">
        <w:rPr>
          <w:noProof/>
          <w:lang w:eastAsia="en-GB"/>
        </w:rPr>
        <w:t xml:space="preserve">ducational supervisor </w:t>
      </w:r>
    </w:p>
    <w:p w:rsidR="00E56011" w:rsidRDefault="001A1937" w:rsidP="00B51597">
      <w:pPr>
        <w:pStyle w:val="ListParagraph"/>
        <w:ind w:left="360"/>
        <w:contextualSpacing/>
        <w:jc w:val="both"/>
        <w:rPr>
          <w:noProof/>
          <w:lang w:eastAsia="en-GB"/>
        </w:rPr>
      </w:pPr>
      <w:r>
        <w:rPr>
          <w:noProof/>
          <w:lang w:eastAsia="en-GB"/>
        </w:rPr>
        <w:t>will closely monitor the trainee’s working arrangements to ensure that</w:t>
      </w:r>
      <w:r w:rsidR="003D0347">
        <w:rPr>
          <w:noProof/>
          <w:lang w:eastAsia="en-GB"/>
        </w:rPr>
        <w:t xml:space="preserve"> training opportunities and breaks are not missed</w:t>
      </w:r>
      <w:r>
        <w:rPr>
          <w:noProof/>
          <w:lang w:eastAsia="en-GB"/>
        </w:rPr>
        <w:t>. The Guardian has liaised with bot</w:t>
      </w:r>
      <w:r w:rsidR="003D0347">
        <w:rPr>
          <w:noProof/>
          <w:lang w:eastAsia="en-GB"/>
        </w:rPr>
        <w:t>h the Educational supervisor, the</w:t>
      </w:r>
      <w:r>
        <w:rPr>
          <w:noProof/>
          <w:lang w:eastAsia="en-GB"/>
        </w:rPr>
        <w:t xml:space="preserve"> trainee, as well as the Associate Director of Medical Education for the Children’s service re the missed training opportunities. </w:t>
      </w:r>
    </w:p>
    <w:p w:rsidR="001A1937" w:rsidRDefault="001A1937" w:rsidP="00B51597">
      <w:pPr>
        <w:pStyle w:val="ListParagraph"/>
        <w:ind w:left="360"/>
        <w:contextualSpacing/>
        <w:jc w:val="both"/>
        <w:rPr>
          <w:noProof/>
          <w:lang w:eastAsia="en-GB"/>
        </w:rPr>
      </w:pPr>
    </w:p>
    <w:p w:rsidR="001A1937" w:rsidRPr="001A1937" w:rsidRDefault="001A1937" w:rsidP="00B51597">
      <w:pPr>
        <w:pStyle w:val="ListParagraph"/>
        <w:ind w:left="360"/>
        <w:contextualSpacing/>
        <w:jc w:val="both"/>
        <w:rPr>
          <w:b/>
          <w:noProof/>
          <w:lang w:eastAsia="en-GB"/>
        </w:rPr>
      </w:pPr>
      <w:r w:rsidRPr="001A1937">
        <w:rPr>
          <w:b/>
          <w:noProof/>
          <w:lang w:eastAsia="en-GB"/>
        </w:rPr>
        <w:t>Medicine</w:t>
      </w:r>
    </w:p>
    <w:p w:rsidR="001A1937" w:rsidRDefault="001A1937" w:rsidP="00B51597">
      <w:pPr>
        <w:pStyle w:val="ListParagraph"/>
        <w:ind w:left="360"/>
        <w:contextualSpacing/>
        <w:jc w:val="both"/>
        <w:rPr>
          <w:noProof/>
          <w:lang w:eastAsia="en-GB"/>
        </w:rPr>
      </w:pPr>
      <w:r>
        <w:rPr>
          <w:noProof/>
          <w:lang w:eastAsia="en-GB"/>
        </w:rPr>
        <w:t xml:space="preserve">The majority of reports within medicine </w:t>
      </w:r>
      <w:r w:rsidR="0062294D">
        <w:rPr>
          <w:noProof/>
          <w:lang w:eastAsia="en-GB"/>
        </w:rPr>
        <w:t xml:space="preserve">have been </w:t>
      </w:r>
      <w:r>
        <w:rPr>
          <w:noProof/>
          <w:lang w:eastAsia="en-GB"/>
        </w:rPr>
        <w:t>submitted by trainees</w:t>
      </w:r>
      <w:r w:rsidR="0062294D">
        <w:rPr>
          <w:noProof/>
          <w:lang w:eastAsia="en-GB"/>
        </w:rPr>
        <w:t xml:space="preserve"> with Gastroenterology primarily highlighting  the heavy workload</w:t>
      </w:r>
      <w:r w:rsidR="0076712A">
        <w:rPr>
          <w:noProof/>
          <w:lang w:eastAsia="en-GB"/>
        </w:rPr>
        <w:t xml:space="preserve"> on the wards resulting in trainees finishing work later than scheduled. </w:t>
      </w:r>
    </w:p>
    <w:p w:rsidR="0076712A" w:rsidRDefault="0076712A" w:rsidP="00B51597">
      <w:pPr>
        <w:pStyle w:val="ListParagraph"/>
        <w:ind w:left="360"/>
        <w:contextualSpacing/>
        <w:jc w:val="both"/>
        <w:rPr>
          <w:noProof/>
          <w:lang w:eastAsia="en-GB"/>
        </w:rPr>
      </w:pPr>
      <w:r>
        <w:rPr>
          <w:noProof/>
          <w:lang w:eastAsia="en-GB"/>
        </w:rPr>
        <w:t xml:space="preserve">The number of exception reports relating to September (5) has significantly reduced compared to August ( 18).  </w:t>
      </w:r>
    </w:p>
    <w:p w:rsidR="0076712A" w:rsidRDefault="00D624DF" w:rsidP="00B51597">
      <w:pPr>
        <w:pStyle w:val="ListParagraph"/>
        <w:ind w:left="360"/>
        <w:contextualSpacing/>
        <w:jc w:val="both"/>
        <w:rPr>
          <w:noProof/>
          <w:lang w:eastAsia="en-GB"/>
        </w:rPr>
      </w:pPr>
      <w:r>
        <w:rPr>
          <w:noProof/>
          <w:lang w:eastAsia="en-GB"/>
        </w:rPr>
        <w:t xml:space="preserve">The GoSW has arranged to meet with the Clinical lead as well as the junior doctors concerned regarding plans to improve </w:t>
      </w:r>
      <w:r w:rsidR="00C05972">
        <w:rPr>
          <w:noProof/>
          <w:lang w:eastAsia="en-GB"/>
        </w:rPr>
        <w:t xml:space="preserve">the </w:t>
      </w:r>
      <w:bookmarkStart w:id="0" w:name="_GoBack"/>
      <w:bookmarkEnd w:id="0"/>
      <w:r>
        <w:rPr>
          <w:noProof/>
          <w:lang w:eastAsia="en-GB"/>
        </w:rPr>
        <w:t>doctors’ experience.</w:t>
      </w:r>
    </w:p>
    <w:p w:rsidR="0062294D" w:rsidRDefault="0062294D" w:rsidP="00B51597">
      <w:pPr>
        <w:pStyle w:val="ListParagraph"/>
        <w:ind w:left="360"/>
        <w:contextualSpacing/>
        <w:jc w:val="both"/>
        <w:rPr>
          <w:noProof/>
          <w:lang w:eastAsia="en-GB"/>
        </w:rPr>
      </w:pPr>
    </w:p>
    <w:p w:rsidR="001A1937" w:rsidRPr="0076712A" w:rsidRDefault="0076712A" w:rsidP="00B51597">
      <w:pPr>
        <w:pStyle w:val="ListParagraph"/>
        <w:ind w:left="360"/>
        <w:contextualSpacing/>
        <w:jc w:val="both"/>
        <w:rPr>
          <w:b/>
          <w:noProof/>
          <w:lang w:eastAsia="en-GB"/>
        </w:rPr>
      </w:pPr>
      <w:r w:rsidRPr="0076712A">
        <w:rPr>
          <w:b/>
          <w:noProof/>
          <w:lang w:eastAsia="en-GB"/>
        </w:rPr>
        <w:t>Surgery</w:t>
      </w:r>
    </w:p>
    <w:p w:rsidR="001A1937" w:rsidRDefault="00147158" w:rsidP="00B51597">
      <w:pPr>
        <w:pStyle w:val="ListParagraph"/>
        <w:ind w:left="360"/>
        <w:contextualSpacing/>
        <w:jc w:val="both"/>
        <w:rPr>
          <w:noProof/>
          <w:lang w:eastAsia="en-GB"/>
        </w:rPr>
      </w:pPr>
      <w:r>
        <w:rPr>
          <w:noProof/>
          <w:lang w:eastAsia="en-GB"/>
        </w:rPr>
        <w:t xml:space="preserve">Within the surgical specialities, the highest number of </w:t>
      </w:r>
      <w:r w:rsidR="006B4E25">
        <w:rPr>
          <w:noProof/>
          <w:lang w:eastAsia="en-GB"/>
        </w:rPr>
        <w:t>exception reports have been received from  the Colorectal and  HBP services.</w:t>
      </w:r>
    </w:p>
    <w:p w:rsidR="00817C93" w:rsidRDefault="00817C93" w:rsidP="00B51597">
      <w:pPr>
        <w:pStyle w:val="ListParagraph"/>
        <w:ind w:left="360"/>
        <w:contextualSpacing/>
        <w:jc w:val="both"/>
        <w:rPr>
          <w:noProof/>
          <w:lang w:eastAsia="en-GB"/>
        </w:rPr>
      </w:pPr>
    </w:p>
    <w:p w:rsidR="006B4E25" w:rsidRPr="00F85F06" w:rsidRDefault="006B4E25" w:rsidP="006B4E25">
      <w:pPr>
        <w:pStyle w:val="ListParagraph"/>
        <w:numPr>
          <w:ilvl w:val="0"/>
          <w:numId w:val="6"/>
        </w:numPr>
        <w:contextualSpacing/>
        <w:jc w:val="both"/>
        <w:rPr>
          <w:b/>
          <w:noProof/>
          <w:lang w:eastAsia="en-GB"/>
        </w:rPr>
      </w:pPr>
      <w:r w:rsidRPr="00F85F06">
        <w:rPr>
          <w:b/>
          <w:noProof/>
          <w:lang w:eastAsia="en-GB"/>
        </w:rPr>
        <w:t>Colorectal service</w:t>
      </w:r>
    </w:p>
    <w:p w:rsidR="006B4E25" w:rsidRDefault="006B4E25" w:rsidP="00B51597">
      <w:pPr>
        <w:pStyle w:val="ListParagraph"/>
        <w:ind w:left="360"/>
        <w:contextualSpacing/>
        <w:jc w:val="both"/>
        <w:rPr>
          <w:noProof/>
          <w:lang w:eastAsia="en-GB"/>
        </w:rPr>
      </w:pPr>
      <w:r>
        <w:rPr>
          <w:noProof/>
          <w:lang w:eastAsia="en-GB"/>
        </w:rPr>
        <w:t xml:space="preserve">12 of the 18 exception reports were submitted in September and relate primarily to high workload resulting in the trainees finishing work later than scheduled. </w:t>
      </w:r>
    </w:p>
    <w:p w:rsidR="006B4E25" w:rsidRDefault="00147158" w:rsidP="00B51597">
      <w:pPr>
        <w:pStyle w:val="ListParagraph"/>
        <w:ind w:left="360"/>
        <w:contextualSpacing/>
        <w:jc w:val="both"/>
        <w:rPr>
          <w:noProof/>
          <w:lang w:eastAsia="en-GB"/>
        </w:rPr>
      </w:pPr>
      <w:r>
        <w:rPr>
          <w:noProof/>
          <w:lang w:eastAsia="en-GB"/>
        </w:rPr>
        <w:t>The GoSW will be meeting with the rota master and the clinical lead to gain a better</w:t>
      </w:r>
      <w:r w:rsidR="00216F3D">
        <w:rPr>
          <w:noProof/>
          <w:lang w:eastAsia="en-GB"/>
        </w:rPr>
        <w:t xml:space="preserve"> understanding of the issues as well as </w:t>
      </w:r>
      <w:r>
        <w:rPr>
          <w:noProof/>
          <w:lang w:eastAsia="en-GB"/>
        </w:rPr>
        <w:t xml:space="preserve"> plans to improve the experience of the trainees.</w:t>
      </w:r>
      <w:r w:rsidR="00F85F06">
        <w:rPr>
          <w:noProof/>
          <w:lang w:eastAsia="en-GB"/>
        </w:rPr>
        <w:t xml:space="preserve"> An update will be provided in the next report of the GoSW.</w:t>
      </w:r>
    </w:p>
    <w:p w:rsidR="006B4E25" w:rsidRDefault="006B4E25" w:rsidP="00B51597">
      <w:pPr>
        <w:pStyle w:val="ListParagraph"/>
        <w:ind w:left="360"/>
        <w:contextualSpacing/>
        <w:jc w:val="both"/>
        <w:rPr>
          <w:noProof/>
          <w:lang w:eastAsia="en-GB"/>
        </w:rPr>
      </w:pPr>
    </w:p>
    <w:p w:rsidR="00147158" w:rsidRPr="00F85F06" w:rsidRDefault="00147158" w:rsidP="00F85F06">
      <w:pPr>
        <w:pStyle w:val="ListParagraph"/>
        <w:numPr>
          <w:ilvl w:val="0"/>
          <w:numId w:val="6"/>
        </w:numPr>
        <w:contextualSpacing/>
        <w:jc w:val="both"/>
        <w:rPr>
          <w:b/>
          <w:noProof/>
          <w:lang w:eastAsia="en-GB"/>
        </w:rPr>
      </w:pPr>
      <w:r w:rsidRPr="00F85F06">
        <w:rPr>
          <w:b/>
          <w:noProof/>
          <w:lang w:eastAsia="en-GB"/>
        </w:rPr>
        <w:t>HBP service</w:t>
      </w:r>
    </w:p>
    <w:p w:rsidR="006B4E25" w:rsidRDefault="00147158" w:rsidP="00B51597">
      <w:pPr>
        <w:pStyle w:val="ListParagraph"/>
        <w:ind w:left="360"/>
        <w:contextualSpacing/>
        <w:jc w:val="both"/>
        <w:rPr>
          <w:noProof/>
          <w:lang w:eastAsia="en-GB"/>
        </w:rPr>
      </w:pPr>
      <w:r>
        <w:rPr>
          <w:noProof/>
          <w:lang w:eastAsia="en-GB"/>
        </w:rPr>
        <w:t>An average of 4 exception reports has been</w:t>
      </w:r>
      <w:r w:rsidR="00F85F06">
        <w:rPr>
          <w:noProof/>
          <w:lang w:eastAsia="en-GB"/>
        </w:rPr>
        <w:t xml:space="preserve"> received  each month</w:t>
      </w:r>
      <w:r>
        <w:rPr>
          <w:noProof/>
          <w:lang w:eastAsia="en-GB"/>
        </w:rPr>
        <w:t xml:space="preserve"> during the quarter. </w:t>
      </w:r>
    </w:p>
    <w:p w:rsidR="006B4E25" w:rsidRDefault="00F85F06" w:rsidP="00B51597">
      <w:pPr>
        <w:pStyle w:val="ListParagraph"/>
        <w:ind w:left="360"/>
        <w:contextualSpacing/>
        <w:jc w:val="both"/>
        <w:rPr>
          <w:noProof/>
          <w:lang w:eastAsia="en-GB"/>
        </w:rPr>
      </w:pPr>
      <w:r>
        <w:rPr>
          <w:noProof/>
          <w:lang w:eastAsia="en-GB"/>
        </w:rPr>
        <w:t>No safety issues have been identified. To be monitored by the GoSW.</w:t>
      </w:r>
    </w:p>
    <w:p w:rsidR="00F4619E" w:rsidRDefault="00F4619E" w:rsidP="00B51597">
      <w:pPr>
        <w:pStyle w:val="ListParagraph"/>
        <w:ind w:left="360"/>
        <w:contextualSpacing/>
        <w:jc w:val="both"/>
        <w:rPr>
          <w:noProof/>
          <w:lang w:eastAsia="en-GB"/>
        </w:rPr>
      </w:pPr>
    </w:p>
    <w:p w:rsidR="00F85F06" w:rsidRDefault="00F85F06" w:rsidP="00B51597">
      <w:pPr>
        <w:pStyle w:val="ListParagraph"/>
        <w:ind w:left="360"/>
        <w:contextualSpacing/>
        <w:jc w:val="both"/>
        <w:rPr>
          <w:noProof/>
          <w:lang w:eastAsia="en-GB"/>
        </w:rPr>
      </w:pPr>
    </w:p>
    <w:p w:rsidR="00F85F06" w:rsidRDefault="00F85F06" w:rsidP="00B51597">
      <w:pPr>
        <w:pStyle w:val="ListParagraph"/>
        <w:ind w:left="360"/>
        <w:contextualSpacing/>
        <w:jc w:val="both"/>
        <w:rPr>
          <w:noProof/>
          <w:lang w:eastAsia="en-GB"/>
        </w:rPr>
      </w:pPr>
    </w:p>
    <w:p w:rsidR="00F85F06" w:rsidRDefault="00F85F06" w:rsidP="00B51597">
      <w:pPr>
        <w:pStyle w:val="ListParagraph"/>
        <w:ind w:left="360"/>
        <w:contextualSpacing/>
        <w:jc w:val="both"/>
        <w:rPr>
          <w:noProof/>
          <w:lang w:eastAsia="en-GB"/>
        </w:rPr>
      </w:pPr>
    </w:p>
    <w:p w:rsidR="00F85F06" w:rsidRDefault="00F85F06" w:rsidP="00B51597">
      <w:pPr>
        <w:pStyle w:val="ListParagraph"/>
        <w:ind w:left="360"/>
        <w:contextualSpacing/>
        <w:jc w:val="both"/>
        <w:rPr>
          <w:noProof/>
          <w:lang w:eastAsia="en-GB"/>
        </w:rPr>
      </w:pPr>
    </w:p>
    <w:p w:rsidR="00F85F06" w:rsidRDefault="00F85F06" w:rsidP="00B51597">
      <w:pPr>
        <w:pStyle w:val="ListParagraph"/>
        <w:ind w:left="360"/>
        <w:contextualSpacing/>
        <w:jc w:val="both"/>
        <w:rPr>
          <w:noProof/>
          <w:lang w:eastAsia="en-GB"/>
        </w:rPr>
      </w:pPr>
    </w:p>
    <w:p w:rsidR="0026067D" w:rsidRDefault="0026067D" w:rsidP="00B51597">
      <w:pPr>
        <w:pStyle w:val="ListParagraph"/>
        <w:ind w:left="360"/>
        <w:contextualSpacing/>
        <w:jc w:val="both"/>
        <w:rPr>
          <w:noProof/>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943"/>
        <w:gridCol w:w="1268"/>
        <w:gridCol w:w="1542"/>
        <w:gridCol w:w="1268"/>
        <w:gridCol w:w="1457"/>
      </w:tblGrid>
      <w:tr w:rsidR="00254530" w:rsidRPr="002829D6" w:rsidTr="0039708A">
        <w:tc>
          <w:tcPr>
            <w:tcW w:w="684" w:type="dxa"/>
            <w:tcBorders>
              <w:right w:val="nil"/>
            </w:tcBorders>
            <w:shd w:val="clear" w:color="auto" w:fill="BFBFBF"/>
          </w:tcPr>
          <w:p w:rsidR="00254530" w:rsidRPr="002829D6" w:rsidRDefault="00254530" w:rsidP="00E728D7">
            <w:pPr>
              <w:pStyle w:val="ListParagraph"/>
              <w:spacing w:before="60" w:after="60" w:line="240" w:lineRule="auto"/>
              <w:ind w:left="0"/>
              <w:contextualSpacing/>
              <w:jc w:val="both"/>
              <w:rPr>
                <w:rFonts w:ascii="Arial" w:hAnsi="Arial" w:cs="Arial"/>
                <w:b/>
                <w:sz w:val="21"/>
                <w:szCs w:val="21"/>
              </w:rPr>
            </w:pPr>
            <w:r>
              <w:rPr>
                <w:rFonts w:ascii="Arial" w:hAnsi="Arial" w:cs="Arial"/>
                <w:b/>
                <w:sz w:val="21"/>
                <w:szCs w:val="21"/>
              </w:rPr>
              <w:t>3.</w:t>
            </w:r>
            <w:r w:rsidR="009D6D61">
              <w:rPr>
                <w:rFonts w:ascii="Arial" w:hAnsi="Arial" w:cs="Arial"/>
                <w:b/>
                <w:sz w:val="21"/>
                <w:szCs w:val="21"/>
              </w:rPr>
              <w:t>1.</w:t>
            </w:r>
            <w:r>
              <w:rPr>
                <w:rFonts w:ascii="Arial" w:hAnsi="Arial" w:cs="Arial"/>
                <w:b/>
                <w:sz w:val="21"/>
                <w:szCs w:val="21"/>
              </w:rPr>
              <w:t>2</w:t>
            </w:r>
          </w:p>
        </w:tc>
        <w:tc>
          <w:tcPr>
            <w:tcW w:w="7478" w:type="dxa"/>
            <w:gridSpan w:val="5"/>
            <w:tcBorders>
              <w:left w:val="nil"/>
            </w:tcBorders>
            <w:shd w:val="clear" w:color="auto" w:fill="BFBFBF"/>
            <w:vAlign w:val="center"/>
          </w:tcPr>
          <w:p w:rsidR="00254530" w:rsidRPr="002829D6" w:rsidRDefault="009D6D61" w:rsidP="00E728D7">
            <w:pPr>
              <w:pStyle w:val="ListParagraph"/>
              <w:spacing w:before="60" w:after="60" w:line="240" w:lineRule="auto"/>
              <w:ind w:left="0"/>
              <w:contextualSpacing/>
              <w:rPr>
                <w:rFonts w:ascii="Arial" w:hAnsi="Arial" w:cs="Arial"/>
                <w:b/>
                <w:sz w:val="21"/>
                <w:szCs w:val="21"/>
              </w:rPr>
            </w:pPr>
            <w:r>
              <w:rPr>
                <w:rFonts w:ascii="Arial" w:hAnsi="Arial" w:cs="Arial"/>
                <w:b/>
                <w:sz w:val="21"/>
                <w:szCs w:val="21"/>
              </w:rPr>
              <w:t>Wythenshawe, Trafford, Withington and Altringham</w:t>
            </w:r>
            <w:r w:rsidR="00254530">
              <w:rPr>
                <w:rFonts w:ascii="Arial" w:hAnsi="Arial" w:cs="Arial"/>
                <w:b/>
                <w:sz w:val="21"/>
                <w:szCs w:val="21"/>
              </w:rPr>
              <w:t xml:space="preserve"> (WTWA)</w:t>
            </w:r>
          </w:p>
        </w:tc>
      </w:tr>
      <w:tr w:rsidR="00254530" w:rsidRPr="002829D6" w:rsidTr="0039708A">
        <w:tc>
          <w:tcPr>
            <w:tcW w:w="2627" w:type="dxa"/>
            <w:gridSpan w:val="2"/>
            <w:shd w:val="clear" w:color="auto" w:fill="auto"/>
            <w:vAlign w:val="center"/>
          </w:tcPr>
          <w:p w:rsidR="00254530" w:rsidRPr="002829D6" w:rsidRDefault="00254530" w:rsidP="00E728D7">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268" w:type="dxa"/>
            <w:shd w:val="clear" w:color="auto" w:fill="auto"/>
            <w:vAlign w:val="center"/>
          </w:tcPr>
          <w:p w:rsidR="00254530" w:rsidRPr="002829D6" w:rsidRDefault="00254530" w:rsidP="00E728D7">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carried over from last report</w:t>
            </w:r>
          </w:p>
        </w:tc>
        <w:tc>
          <w:tcPr>
            <w:tcW w:w="1542" w:type="dxa"/>
            <w:shd w:val="clear" w:color="auto" w:fill="auto"/>
            <w:vAlign w:val="center"/>
          </w:tcPr>
          <w:p w:rsidR="00254530" w:rsidRPr="002829D6" w:rsidRDefault="00254530" w:rsidP="00E728D7">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raised</w:t>
            </w:r>
            <w:r>
              <w:rPr>
                <w:rFonts w:ascii="Arial" w:hAnsi="Arial" w:cs="Arial"/>
                <w:b/>
                <w:sz w:val="16"/>
                <w:szCs w:val="16"/>
              </w:rPr>
              <w:t xml:space="preserve"> in this quarter</w:t>
            </w:r>
          </w:p>
        </w:tc>
        <w:tc>
          <w:tcPr>
            <w:tcW w:w="1268" w:type="dxa"/>
            <w:shd w:val="clear" w:color="auto" w:fill="auto"/>
            <w:vAlign w:val="center"/>
          </w:tcPr>
          <w:p w:rsidR="00254530" w:rsidRPr="002829D6" w:rsidRDefault="00254530" w:rsidP="00E728D7">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closed</w:t>
            </w:r>
          </w:p>
        </w:tc>
        <w:tc>
          <w:tcPr>
            <w:tcW w:w="1457" w:type="dxa"/>
            <w:shd w:val="clear" w:color="auto" w:fill="auto"/>
            <w:vAlign w:val="center"/>
          </w:tcPr>
          <w:p w:rsidR="00254530" w:rsidRPr="002829D6" w:rsidRDefault="00254530" w:rsidP="00E728D7">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outstanding</w:t>
            </w:r>
          </w:p>
        </w:tc>
      </w:tr>
      <w:tr w:rsidR="00254530" w:rsidRPr="00483C61" w:rsidTr="0039708A">
        <w:tc>
          <w:tcPr>
            <w:tcW w:w="2627" w:type="dxa"/>
            <w:gridSpan w:val="2"/>
            <w:shd w:val="clear" w:color="auto" w:fill="auto"/>
            <w:vAlign w:val="center"/>
          </w:tcPr>
          <w:p w:rsidR="00254530" w:rsidRPr="002829D6" w:rsidRDefault="00CA1A67"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Vascular</w:t>
            </w:r>
          </w:p>
        </w:tc>
        <w:tc>
          <w:tcPr>
            <w:tcW w:w="1268" w:type="dxa"/>
            <w:shd w:val="clear" w:color="auto" w:fill="auto"/>
            <w:vAlign w:val="center"/>
          </w:tcPr>
          <w:p w:rsidR="00254530" w:rsidRPr="002829D6" w:rsidRDefault="0087663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254530" w:rsidRPr="002829D6" w:rsidRDefault="00B11BEB"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268" w:type="dxa"/>
            <w:shd w:val="clear" w:color="auto" w:fill="auto"/>
            <w:vAlign w:val="center"/>
          </w:tcPr>
          <w:p w:rsidR="00254530" w:rsidRPr="00483C61" w:rsidRDefault="005723E6"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457" w:type="dxa"/>
            <w:shd w:val="clear" w:color="auto" w:fill="auto"/>
            <w:vAlign w:val="center"/>
          </w:tcPr>
          <w:p w:rsidR="00254530" w:rsidRPr="00483C61" w:rsidRDefault="005723E6"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254530" w:rsidRPr="002829D6" w:rsidTr="0039708A">
        <w:tc>
          <w:tcPr>
            <w:tcW w:w="2627" w:type="dxa"/>
            <w:gridSpan w:val="2"/>
            <w:shd w:val="clear" w:color="auto" w:fill="auto"/>
            <w:vAlign w:val="center"/>
          </w:tcPr>
          <w:p w:rsidR="00254530" w:rsidRPr="002829D6" w:rsidRDefault="00254530"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Gastroenterology</w:t>
            </w:r>
          </w:p>
        </w:tc>
        <w:tc>
          <w:tcPr>
            <w:tcW w:w="1268" w:type="dxa"/>
            <w:shd w:val="clear" w:color="auto" w:fill="auto"/>
            <w:vAlign w:val="center"/>
          </w:tcPr>
          <w:p w:rsidR="00254530" w:rsidRPr="002829D6" w:rsidRDefault="00F75F0B"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42" w:type="dxa"/>
            <w:shd w:val="clear" w:color="auto" w:fill="auto"/>
            <w:vAlign w:val="center"/>
          </w:tcPr>
          <w:p w:rsidR="00254530" w:rsidRPr="002829D6"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29</w:t>
            </w:r>
          </w:p>
        </w:tc>
        <w:tc>
          <w:tcPr>
            <w:tcW w:w="1268" w:type="dxa"/>
            <w:shd w:val="clear" w:color="auto" w:fill="auto"/>
            <w:vAlign w:val="center"/>
          </w:tcPr>
          <w:p w:rsidR="00254530" w:rsidRPr="002829D6"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r w:rsidR="005976DA">
              <w:rPr>
                <w:rFonts w:ascii="Arial" w:hAnsi="Arial" w:cs="Arial"/>
                <w:sz w:val="16"/>
                <w:szCs w:val="16"/>
              </w:rPr>
              <w:t>5</w:t>
            </w:r>
          </w:p>
        </w:tc>
        <w:tc>
          <w:tcPr>
            <w:tcW w:w="1457" w:type="dxa"/>
            <w:shd w:val="clear" w:color="auto" w:fill="auto"/>
            <w:vAlign w:val="center"/>
          </w:tcPr>
          <w:p w:rsidR="00254530" w:rsidRPr="002829D6" w:rsidRDefault="005976D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r>
      <w:tr w:rsidR="00254530" w:rsidRPr="002829D6" w:rsidTr="0039708A">
        <w:tc>
          <w:tcPr>
            <w:tcW w:w="2627" w:type="dxa"/>
            <w:gridSpan w:val="2"/>
            <w:shd w:val="clear" w:color="auto" w:fill="auto"/>
            <w:vAlign w:val="center"/>
          </w:tcPr>
          <w:p w:rsidR="00254530" w:rsidRPr="002829D6" w:rsidRDefault="00CA1A67"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General </w:t>
            </w:r>
            <w:r w:rsidR="00254530">
              <w:rPr>
                <w:rFonts w:ascii="Arial" w:hAnsi="Arial" w:cs="Arial"/>
                <w:sz w:val="16"/>
                <w:szCs w:val="16"/>
              </w:rPr>
              <w:t>Medicine</w:t>
            </w:r>
          </w:p>
        </w:tc>
        <w:tc>
          <w:tcPr>
            <w:tcW w:w="1268" w:type="dxa"/>
            <w:shd w:val="clear" w:color="auto" w:fill="auto"/>
            <w:vAlign w:val="center"/>
          </w:tcPr>
          <w:p w:rsidR="00254530" w:rsidRPr="002829D6" w:rsidRDefault="005976D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42" w:type="dxa"/>
            <w:shd w:val="clear" w:color="auto" w:fill="auto"/>
            <w:vAlign w:val="center"/>
          </w:tcPr>
          <w:p w:rsidR="00254530" w:rsidRPr="002829D6"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21</w:t>
            </w:r>
          </w:p>
        </w:tc>
        <w:tc>
          <w:tcPr>
            <w:tcW w:w="1268" w:type="dxa"/>
            <w:shd w:val="clear" w:color="auto" w:fill="auto"/>
            <w:vAlign w:val="center"/>
          </w:tcPr>
          <w:p w:rsidR="00254530" w:rsidRPr="002829D6" w:rsidRDefault="00E217C7"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w:t>
            </w:r>
          </w:p>
        </w:tc>
        <w:tc>
          <w:tcPr>
            <w:tcW w:w="1457" w:type="dxa"/>
            <w:shd w:val="clear" w:color="auto" w:fill="auto"/>
            <w:vAlign w:val="center"/>
          </w:tcPr>
          <w:p w:rsidR="00254530" w:rsidRPr="002829D6" w:rsidRDefault="005976D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r>
      <w:tr w:rsidR="0039708A" w:rsidRPr="002829D6" w:rsidTr="0039708A">
        <w:tc>
          <w:tcPr>
            <w:tcW w:w="2627" w:type="dxa"/>
            <w:gridSpan w:val="2"/>
            <w:shd w:val="clear" w:color="auto" w:fill="auto"/>
            <w:vAlign w:val="center"/>
          </w:tcPr>
          <w:p w:rsidR="0039708A" w:rsidRDefault="0039708A"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Endocrine and Diabetes</w:t>
            </w:r>
          </w:p>
        </w:tc>
        <w:tc>
          <w:tcPr>
            <w:tcW w:w="1268"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268"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457"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39708A" w:rsidRPr="002829D6" w:rsidTr="0039708A">
        <w:tc>
          <w:tcPr>
            <w:tcW w:w="2627" w:type="dxa"/>
            <w:gridSpan w:val="2"/>
            <w:shd w:val="clear" w:color="auto" w:fill="auto"/>
            <w:vAlign w:val="center"/>
          </w:tcPr>
          <w:p w:rsidR="0039708A" w:rsidRDefault="0039708A"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Oncology</w:t>
            </w:r>
          </w:p>
        </w:tc>
        <w:tc>
          <w:tcPr>
            <w:tcW w:w="1268"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11</w:t>
            </w:r>
          </w:p>
        </w:tc>
        <w:tc>
          <w:tcPr>
            <w:tcW w:w="1268"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11</w:t>
            </w:r>
          </w:p>
        </w:tc>
        <w:tc>
          <w:tcPr>
            <w:tcW w:w="1457"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9708A" w:rsidRPr="002829D6" w:rsidTr="0039708A">
        <w:tc>
          <w:tcPr>
            <w:tcW w:w="2627" w:type="dxa"/>
            <w:gridSpan w:val="2"/>
            <w:shd w:val="clear" w:color="auto" w:fill="auto"/>
            <w:vAlign w:val="center"/>
          </w:tcPr>
          <w:p w:rsidR="0039708A" w:rsidRDefault="0039708A"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Respiratory medicine</w:t>
            </w:r>
          </w:p>
        </w:tc>
        <w:tc>
          <w:tcPr>
            <w:tcW w:w="1268"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42"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268" w:type="dxa"/>
            <w:shd w:val="clear" w:color="auto" w:fill="auto"/>
            <w:vAlign w:val="center"/>
          </w:tcPr>
          <w:p w:rsidR="0039708A" w:rsidRDefault="00E217C7"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457" w:type="dxa"/>
            <w:shd w:val="clear" w:color="auto" w:fill="auto"/>
            <w:vAlign w:val="center"/>
          </w:tcPr>
          <w:p w:rsidR="0039708A" w:rsidRDefault="0039708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5723E6" w:rsidRPr="002829D6" w:rsidTr="0039708A">
        <w:tc>
          <w:tcPr>
            <w:tcW w:w="2627" w:type="dxa"/>
            <w:gridSpan w:val="2"/>
            <w:shd w:val="clear" w:color="auto" w:fill="auto"/>
            <w:vAlign w:val="center"/>
          </w:tcPr>
          <w:p w:rsidR="005723E6" w:rsidRDefault="005723E6"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Trafford - Psychiatry and Gen Medicine</w:t>
            </w:r>
          </w:p>
        </w:tc>
        <w:tc>
          <w:tcPr>
            <w:tcW w:w="1268" w:type="dxa"/>
            <w:shd w:val="clear" w:color="auto" w:fill="auto"/>
            <w:vAlign w:val="center"/>
          </w:tcPr>
          <w:p w:rsidR="005723E6" w:rsidRPr="002829D6" w:rsidRDefault="0087663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5723E6" w:rsidRDefault="005723E6"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w:t>
            </w:r>
          </w:p>
        </w:tc>
        <w:tc>
          <w:tcPr>
            <w:tcW w:w="1268" w:type="dxa"/>
            <w:shd w:val="clear" w:color="auto" w:fill="auto"/>
            <w:vAlign w:val="center"/>
          </w:tcPr>
          <w:p w:rsidR="005723E6" w:rsidRPr="002829D6" w:rsidRDefault="005723E6"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w:t>
            </w:r>
          </w:p>
        </w:tc>
        <w:tc>
          <w:tcPr>
            <w:tcW w:w="1457" w:type="dxa"/>
            <w:shd w:val="clear" w:color="auto" w:fill="auto"/>
            <w:vAlign w:val="center"/>
          </w:tcPr>
          <w:p w:rsidR="005723E6" w:rsidRPr="002829D6" w:rsidRDefault="005723E6"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254530" w:rsidRPr="002829D6" w:rsidTr="0039708A">
        <w:tc>
          <w:tcPr>
            <w:tcW w:w="2627" w:type="dxa"/>
            <w:gridSpan w:val="2"/>
            <w:shd w:val="clear" w:color="auto" w:fill="auto"/>
            <w:vAlign w:val="center"/>
          </w:tcPr>
          <w:p w:rsidR="00254530" w:rsidRDefault="00254530"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Trauma &amp; Orthopaedics</w:t>
            </w:r>
          </w:p>
        </w:tc>
        <w:tc>
          <w:tcPr>
            <w:tcW w:w="1268" w:type="dxa"/>
            <w:shd w:val="clear" w:color="auto" w:fill="auto"/>
            <w:vAlign w:val="center"/>
          </w:tcPr>
          <w:p w:rsidR="00254530" w:rsidRPr="002829D6" w:rsidRDefault="0087663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254530" w:rsidRPr="002829D6" w:rsidRDefault="00B11BEB"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268" w:type="dxa"/>
            <w:shd w:val="clear" w:color="auto" w:fill="auto"/>
            <w:vAlign w:val="center"/>
          </w:tcPr>
          <w:p w:rsidR="00254530" w:rsidRPr="002829D6" w:rsidRDefault="005976D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457" w:type="dxa"/>
            <w:shd w:val="clear" w:color="auto" w:fill="auto"/>
            <w:vAlign w:val="center"/>
          </w:tcPr>
          <w:p w:rsidR="00254530" w:rsidRPr="002829D6" w:rsidRDefault="005976D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254530" w:rsidTr="0039708A">
        <w:tc>
          <w:tcPr>
            <w:tcW w:w="2627" w:type="dxa"/>
            <w:gridSpan w:val="2"/>
            <w:shd w:val="clear" w:color="auto" w:fill="auto"/>
            <w:vAlign w:val="center"/>
          </w:tcPr>
          <w:p w:rsidR="00254530" w:rsidRDefault="00254530"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A&amp;E</w:t>
            </w:r>
          </w:p>
        </w:tc>
        <w:tc>
          <w:tcPr>
            <w:tcW w:w="1268" w:type="dxa"/>
            <w:shd w:val="clear" w:color="auto" w:fill="auto"/>
            <w:vAlign w:val="center"/>
          </w:tcPr>
          <w:p w:rsidR="00254530" w:rsidRPr="002829D6" w:rsidRDefault="0087663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254530" w:rsidRDefault="00B11BEB"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268" w:type="dxa"/>
            <w:shd w:val="clear" w:color="auto" w:fill="auto"/>
            <w:vAlign w:val="center"/>
          </w:tcPr>
          <w:p w:rsidR="00254530" w:rsidRDefault="005976D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457" w:type="dxa"/>
            <w:shd w:val="clear" w:color="auto" w:fill="auto"/>
            <w:vAlign w:val="center"/>
          </w:tcPr>
          <w:p w:rsidR="00254530" w:rsidRDefault="005976D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254530" w:rsidTr="0039708A">
        <w:tc>
          <w:tcPr>
            <w:tcW w:w="2627" w:type="dxa"/>
            <w:gridSpan w:val="2"/>
            <w:shd w:val="clear" w:color="auto" w:fill="auto"/>
            <w:vAlign w:val="center"/>
          </w:tcPr>
          <w:p w:rsidR="00254530" w:rsidRDefault="00CA1A67" w:rsidP="00E728D7">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Cardiology </w:t>
            </w:r>
          </w:p>
        </w:tc>
        <w:tc>
          <w:tcPr>
            <w:tcW w:w="1268" w:type="dxa"/>
            <w:shd w:val="clear" w:color="auto" w:fill="auto"/>
            <w:vAlign w:val="center"/>
          </w:tcPr>
          <w:p w:rsidR="00254530" w:rsidRPr="002829D6" w:rsidRDefault="0087663A"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42" w:type="dxa"/>
            <w:shd w:val="clear" w:color="auto" w:fill="auto"/>
            <w:vAlign w:val="center"/>
          </w:tcPr>
          <w:p w:rsidR="00254530" w:rsidRDefault="00B11BEB"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268" w:type="dxa"/>
            <w:shd w:val="clear" w:color="auto" w:fill="auto"/>
            <w:vAlign w:val="center"/>
          </w:tcPr>
          <w:p w:rsidR="00254530" w:rsidRDefault="005723E6"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457" w:type="dxa"/>
            <w:shd w:val="clear" w:color="auto" w:fill="auto"/>
            <w:vAlign w:val="center"/>
          </w:tcPr>
          <w:p w:rsidR="00254530" w:rsidRDefault="005723E6" w:rsidP="00E728D7">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254530" w:rsidRPr="00483C61" w:rsidTr="0039708A">
        <w:tc>
          <w:tcPr>
            <w:tcW w:w="2627" w:type="dxa"/>
            <w:gridSpan w:val="2"/>
            <w:shd w:val="clear" w:color="auto" w:fill="auto"/>
            <w:vAlign w:val="center"/>
          </w:tcPr>
          <w:p w:rsidR="00254530" w:rsidRPr="002829D6" w:rsidRDefault="00254530" w:rsidP="00E728D7">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1268" w:type="dxa"/>
            <w:shd w:val="clear" w:color="auto" w:fill="auto"/>
            <w:vAlign w:val="center"/>
          </w:tcPr>
          <w:p w:rsidR="00254530" w:rsidRPr="002829D6" w:rsidRDefault="005976DA" w:rsidP="00E728D7">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3</w:t>
            </w:r>
          </w:p>
        </w:tc>
        <w:tc>
          <w:tcPr>
            <w:tcW w:w="1542" w:type="dxa"/>
            <w:shd w:val="clear" w:color="auto" w:fill="auto"/>
            <w:vAlign w:val="center"/>
          </w:tcPr>
          <w:p w:rsidR="00254530" w:rsidRPr="002829D6" w:rsidRDefault="00B11BEB" w:rsidP="00E728D7">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84</w:t>
            </w:r>
          </w:p>
        </w:tc>
        <w:tc>
          <w:tcPr>
            <w:tcW w:w="1268" w:type="dxa"/>
            <w:shd w:val="clear" w:color="auto" w:fill="auto"/>
            <w:vAlign w:val="center"/>
          </w:tcPr>
          <w:p w:rsidR="00254530" w:rsidRPr="00483C61" w:rsidRDefault="005976DA" w:rsidP="00E728D7">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67</w:t>
            </w:r>
          </w:p>
        </w:tc>
        <w:tc>
          <w:tcPr>
            <w:tcW w:w="1457" w:type="dxa"/>
            <w:shd w:val="clear" w:color="auto" w:fill="auto"/>
            <w:vAlign w:val="center"/>
          </w:tcPr>
          <w:p w:rsidR="00254530" w:rsidRPr="00483C61" w:rsidRDefault="005976DA" w:rsidP="00E728D7">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20</w:t>
            </w:r>
          </w:p>
        </w:tc>
      </w:tr>
    </w:tbl>
    <w:p w:rsidR="0026067D" w:rsidRDefault="0026067D" w:rsidP="00B51597">
      <w:pPr>
        <w:pStyle w:val="ListParagraph"/>
        <w:ind w:left="360"/>
        <w:contextualSpacing/>
        <w:jc w:val="both"/>
        <w:rPr>
          <w:noProof/>
          <w:lang w:eastAsia="en-GB"/>
        </w:rPr>
      </w:pPr>
    </w:p>
    <w:p w:rsidR="00CC6454" w:rsidRDefault="00CC6454" w:rsidP="00B51597">
      <w:pPr>
        <w:pStyle w:val="ListParagraph"/>
        <w:ind w:left="360"/>
        <w:contextualSpacing/>
        <w:jc w:val="both"/>
        <w:rPr>
          <w:noProof/>
          <w:lang w:eastAsia="en-GB"/>
        </w:rPr>
      </w:pPr>
    </w:p>
    <w:p w:rsidR="00CC6454" w:rsidRDefault="00CC6454" w:rsidP="00B51597">
      <w:pPr>
        <w:pStyle w:val="ListParagraph"/>
        <w:ind w:left="360"/>
        <w:contextualSpacing/>
        <w:jc w:val="both"/>
        <w:rPr>
          <w:noProof/>
          <w:lang w:eastAsia="en-GB"/>
        </w:rPr>
      </w:pPr>
      <w:r>
        <w:rPr>
          <w:noProof/>
          <w:lang w:eastAsia="en-GB"/>
        </w:rPr>
        <w:drawing>
          <wp:inline distT="0" distB="0" distL="0" distR="0">
            <wp:extent cx="5271714" cy="4905954"/>
            <wp:effectExtent l="0" t="0" r="2476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6454" w:rsidRDefault="00CC6454" w:rsidP="00B51597">
      <w:pPr>
        <w:pStyle w:val="ListParagraph"/>
        <w:ind w:left="360"/>
        <w:contextualSpacing/>
        <w:jc w:val="both"/>
        <w:rPr>
          <w:noProof/>
          <w:lang w:eastAsia="en-GB"/>
        </w:rPr>
      </w:pPr>
    </w:p>
    <w:p w:rsidR="00CC6454" w:rsidRDefault="00CC6454" w:rsidP="00B51597">
      <w:pPr>
        <w:pStyle w:val="ListParagraph"/>
        <w:ind w:left="360"/>
        <w:contextualSpacing/>
        <w:jc w:val="both"/>
        <w:rPr>
          <w:noProof/>
          <w:lang w:eastAsia="en-GB"/>
        </w:rPr>
      </w:pPr>
    </w:p>
    <w:p w:rsidR="00CC6454" w:rsidRDefault="00CC6454" w:rsidP="00B51597">
      <w:pPr>
        <w:pStyle w:val="ListParagraph"/>
        <w:ind w:left="360"/>
        <w:contextualSpacing/>
        <w:jc w:val="both"/>
        <w:rPr>
          <w:noProof/>
          <w:lang w:eastAsia="en-GB"/>
        </w:rPr>
      </w:pPr>
    </w:p>
    <w:p w:rsidR="00254530" w:rsidRDefault="00F85F06" w:rsidP="00CC6454">
      <w:pPr>
        <w:contextualSpacing/>
        <w:jc w:val="both"/>
        <w:rPr>
          <w:noProof/>
          <w:lang w:eastAsia="en-GB"/>
        </w:rPr>
      </w:pPr>
      <w:r>
        <w:rPr>
          <w:noProof/>
          <w:lang w:eastAsia="en-GB"/>
        </w:rPr>
        <w:lastRenderedPageBreak/>
        <w:t>The highest number of exception reports</w:t>
      </w:r>
      <w:r w:rsidR="002B74F1">
        <w:rPr>
          <w:noProof/>
          <w:lang w:eastAsia="en-GB"/>
        </w:rPr>
        <w:t xml:space="preserve"> at WTWA</w:t>
      </w:r>
      <w:r>
        <w:rPr>
          <w:noProof/>
          <w:lang w:eastAsia="en-GB"/>
        </w:rPr>
        <w:t xml:space="preserve"> have been submitted by trainees within the Gastroenterology service and General medicine.</w:t>
      </w:r>
    </w:p>
    <w:p w:rsidR="002B74F1" w:rsidRDefault="002B74F1" w:rsidP="00B51597">
      <w:pPr>
        <w:pStyle w:val="ListParagraph"/>
        <w:ind w:left="360"/>
        <w:contextualSpacing/>
        <w:jc w:val="both"/>
        <w:rPr>
          <w:noProof/>
          <w:lang w:eastAsia="en-GB"/>
        </w:rPr>
      </w:pPr>
    </w:p>
    <w:p w:rsidR="00F85F06" w:rsidRDefault="00BE3745" w:rsidP="00CC6454">
      <w:pPr>
        <w:pStyle w:val="ListParagraph"/>
        <w:ind w:left="360"/>
        <w:contextualSpacing/>
        <w:jc w:val="both"/>
        <w:rPr>
          <w:noProof/>
          <w:lang w:eastAsia="en-GB"/>
        </w:rPr>
      </w:pPr>
      <w:r>
        <w:rPr>
          <w:noProof/>
          <w:lang w:eastAsia="en-GB"/>
        </w:rPr>
        <w:t>Exception reports highlight heavy workload and  staffing difficulties as the two main reasons for trainees working  beyond  scheduled finish times.</w:t>
      </w:r>
      <w:r w:rsidR="0074454E">
        <w:rPr>
          <w:noProof/>
          <w:lang w:eastAsia="en-GB"/>
        </w:rPr>
        <w:t xml:space="preserve">  </w:t>
      </w:r>
      <w:r w:rsidR="005E623B">
        <w:rPr>
          <w:noProof/>
          <w:lang w:eastAsia="en-GB"/>
        </w:rPr>
        <w:t>The GoSw will be liaising with the clinical leads /</w:t>
      </w:r>
      <w:r w:rsidR="00817C93">
        <w:rPr>
          <w:noProof/>
          <w:lang w:eastAsia="en-GB"/>
        </w:rPr>
        <w:t xml:space="preserve"> Clinical Director</w:t>
      </w:r>
      <w:r w:rsidR="005E623B">
        <w:rPr>
          <w:noProof/>
          <w:lang w:eastAsia="en-GB"/>
        </w:rPr>
        <w:t>s</w:t>
      </w:r>
      <w:r w:rsidR="00817C93">
        <w:rPr>
          <w:noProof/>
          <w:lang w:eastAsia="en-GB"/>
        </w:rPr>
        <w:t xml:space="preserve"> for </w:t>
      </w:r>
      <w:r w:rsidR="005E623B">
        <w:rPr>
          <w:noProof/>
          <w:lang w:eastAsia="en-GB"/>
        </w:rPr>
        <w:t>the</w:t>
      </w:r>
      <w:r w:rsidR="00817C93">
        <w:rPr>
          <w:noProof/>
          <w:lang w:eastAsia="en-GB"/>
        </w:rPr>
        <w:t>s</w:t>
      </w:r>
      <w:r w:rsidR="005E623B">
        <w:rPr>
          <w:noProof/>
          <w:lang w:eastAsia="en-GB"/>
        </w:rPr>
        <w:t>e</w:t>
      </w:r>
      <w:r w:rsidR="00817C93">
        <w:rPr>
          <w:noProof/>
          <w:lang w:eastAsia="en-GB"/>
        </w:rPr>
        <w:t xml:space="preserve"> service</w:t>
      </w:r>
      <w:r w:rsidR="005E623B">
        <w:rPr>
          <w:noProof/>
          <w:lang w:eastAsia="en-GB"/>
        </w:rPr>
        <w:t>s</w:t>
      </w:r>
      <w:r w:rsidR="00817C93">
        <w:rPr>
          <w:noProof/>
          <w:lang w:eastAsia="en-GB"/>
        </w:rPr>
        <w:t xml:space="preserve"> and will update the Committee on progress made to improve the situation in the next report.</w:t>
      </w:r>
    </w:p>
    <w:p w:rsidR="00CC6454" w:rsidRDefault="00CC6454" w:rsidP="00CC6454">
      <w:pPr>
        <w:pStyle w:val="ListParagraph"/>
        <w:ind w:left="360"/>
        <w:contextualSpacing/>
        <w:jc w:val="both"/>
        <w:rPr>
          <w:noProof/>
          <w:lang w:eastAsia="en-GB"/>
        </w:rPr>
      </w:pPr>
    </w:p>
    <w:p w:rsidR="00CC6454" w:rsidRDefault="00CC6454" w:rsidP="00CC6454">
      <w:pPr>
        <w:pStyle w:val="ListParagraph"/>
        <w:ind w:left="360"/>
        <w:contextualSpacing/>
        <w:jc w:val="both"/>
        <w:rPr>
          <w:noProof/>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43"/>
        <w:gridCol w:w="1417"/>
        <w:gridCol w:w="1559"/>
        <w:gridCol w:w="1276"/>
        <w:gridCol w:w="1468"/>
      </w:tblGrid>
      <w:tr w:rsidR="0040040D" w:rsidRPr="002829D6" w:rsidTr="002829D6">
        <w:tc>
          <w:tcPr>
            <w:tcW w:w="599" w:type="dxa"/>
            <w:tcBorders>
              <w:right w:val="nil"/>
            </w:tcBorders>
            <w:shd w:val="clear" w:color="auto" w:fill="BFBFBF"/>
          </w:tcPr>
          <w:p w:rsidR="0040040D" w:rsidRPr="002829D6" w:rsidRDefault="009D6D61" w:rsidP="002829D6">
            <w:pPr>
              <w:pStyle w:val="ListParagraph"/>
              <w:spacing w:before="60" w:after="60" w:line="240" w:lineRule="auto"/>
              <w:ind w:left="0"/>
              <w:contextualSpacing/>
              <w:jc w:val="both"/>
              <w:rPr>
                <w:rFonts w:ascii="Arial" w:hAnsi="Arial" w:cs="Arial"/>
                <w:b/>
                <w:sz w:val="21"/>
                <w:szCs w:val="21"/>
              </w:rPr>
            </w:pPr>
            <w:r>
              <w:rPr>
                <w:rFonts w:ascii="Arial" w:hAnsi="Arial" w:cs="Arial"/>
                <w:b/>
                <w:sz w:val="21"/>
                <w:szCs w:val="21"/>
              </w:rPr>
              <w:t>3.</w:t>
            </w:r>
            <w:r w:rsidR="00F85670">
              <w:rPr>
                <w:rFonts w:ascii="Arial" w:hAnsi="Arial" w:cs="Arial"/>
                <w:b/>
                <w:sz w:val="21"/>
                <w:szCs w:val="21"/>
              </w:rPr>
              <w:t>2</w:t>
            </w:r>
          </w:p>
        </w:tc>
        <w:tc>
          <w:tcPr>
            <w:tcW w:w="7563" w:type="dxa"/>
            <w:gridSpan w:val="5"/>
            <w:tcBorders>
              <w:left w:val="nil"/>
            </w:tcBorders>
            <w:shd w:val="clear" w:color="auto" w:fill="BFBFBF"/>
            <w:vAlign w:val="center"/>
          </w:tcPr>
          <w:p w:rsidR="0040040D" w:rsidRPr="002829D6" w:rsidRDefault="0040040D"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Exception reports by grade</w:t>
            </w:r>
          </w:p>
        </w:tc>
      </w:tr>
      <w:tr w:rsidR="0040040D" w:rsidRPr="002829D6" w:rsidTr="002829D6">
        <w:tc>
          <w:tcPr>
            <w:tcW w:w="2442" w:type="dxa"/>
            <w:gridSpan w:val="2"/>
            <w:shd w:val="clear" w:color="auto" w:fill="auto"/>
            <w:vAlign w:val="center"/>
          </w:tcPr>
          <w:p w:rsidR="0040040D" w:rsidRPr="002829D6" w:rsidRDefault="0040040D"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417" w:type="dxa"/>
            <w:shd w:val="clear" w:color="auto" w:fill="auto"/>
            <w:vAlign w:val="center"/>
          </w:tcPr>
          <w:p w:rsidR="0040040D" w:rsidRPr="002829D6" w:rsidRDefault="0040040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carried over from last report</w:t>
            </w:r>
          </w:p>
        </w:tc>
        <w:tc>
          <w:tcPr>
            <w:tcW w:w="1559" w:type="dxa"/>
            <w:shd w:val="clear" w:color="auto" w:fill="auto"/>
            <w:vAlign w:val="center"/>
          </w:tcPr>
          <w:p w:rsidR="0040040D" w:rsidRPr="002829D6" w:rsidRDefault="0040040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raised</w:t>
            </w:r>
            <w:r w:rsidR="00C3387B">
              <w:rPr>
                <w:rFonts w:ascii="Arial" w:hAnsi="Arial" w:cs="Arial"/>
                <w:b/>
                <w:sz w:val="16"/>
                <w:szCs w:val="16"/>
              </w:rPr>
              <w:t xml:space="preserve"> in this quarter</w:t>
            </w:r>
          </w:p>
        </w:tc>
        <w:tc>
          <w:tcPr>
            <w:tcW w:w="1276" w:type="dxa"/>
            <w:shd w:val="clear" w:color="auto" w:fill="auto"/>
            <w:vAlign w:val="center"/>
          </w:tcPr>
          <w:p w:rsidR="0040040D" w:rsidRPr="002829D6" w:rsidRDefault="0040040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closed</w:t>
            </w:r>
          </w:p>
        </w:tc>
        <w:tc>
          <w:tcPr>
            <w:tcW w:w="1468" w:type="dxa"/>
            <w:shd w:val="clear" w:color="auto" w:fill="auto"/>
            <w:vAlign w:val="center"/>
          </w:tcPr>
          <w:p w:rsidR="0040040D" w:rsidRPr="002829D6" w:rsidRDefault="0040040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outstanding</w:t>
            </w:r>
          </w:p>
        </w:tc>
      </w:tr>
      <w:tr w:rsidR="0040040D" w:rsidRPr="002829D6" w:rsidTr="002829D6">
        <w:tc>
          <w:tcPr>
            <w:tcW w:w="2442" w:type="dxa"/>
            <w:gridSpan w:val="2"/>
            <w:shd w:val="clear" w:color="auto" w:fill="auto"/>
            <w:vAlign w:val="center"/>
          </w:tcPr>
          <w:p w:rsidR="0040040D" w:rsidRPr="002829D6" w:rsidRDefault="0040040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F</w:t>
            </w:r>
            <w:r w:rsidR="00764EF2">
              <w:rPr>
                <w:rFonts w:ascii="Arial" w:hAnsi="Arial" w:cs="Arial"/>
                <w:sz w:val="16"/>
                <w:szCs w:val="16"/>
              </w:rPr>
              <w:t>Y</w:t>
            </w:r>
            <w:r w:rsidRPr="002829D6">
              <w:rPr>
                <w:rFonts w:ascii="Arial" w:hAnsi="Arial" w:cs="Arial"/>
                <w:sz w:val="16"/>
                <w:szCs w:val="16"/>
              </w:rPr>
              <w:t>1</w:t>
            </w:r>
            <w:r w:rsidR="00894C7A">
              <w:rPr>
                <w:rFonts w:ascii="Arial" w:hAnsi="Arial" w:cs="Arial"/>
                <w:sz w:val="16"/>
                <w:szCs w:val="16"/>
              </w:rPr>
              <w:t xml:space="preserve"> </w:t>
            </w:r>
          </w:p>
        </w:tc>
        <w:tc>
          <w:tcPr>
            <w:tcW w:w="1417" w:type="dxa"/>
            <w:shd w:val="clear" w:color="auto" w:fill="auto"/>
            <w:vAlign w:val="center"/>
          </w:tcPr>
          <w:p w:rsidR="0040040D"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59" w:type="dxa"/>
            <w:shd w:val="clear" w:color="auto" w:fill="auto"/>
            <w:vAlign w:val="center"/>
          </w:tcPr>
          <w:p w:rsidR="0040040D" w:rsidRPr="002829D6" w:rsidRDefault="009D6D61"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142</w:t>
            </w:r>
          </w:p>
        </w:tc>
        <w:tc>
          <w:tcPr>
            <w:tcW w:w="1276"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116</w:t>
            </w:r>
          </w:p>
        </w:tc>
        <w:tc>
          <w:tcPr>
            <w:tcW w:w="1468"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27</w:t>
            </w:r>
          </w:p>
        </w:tc>
      </w:tr>
      <w:tr w:rsidR="00894C7A" w:rsidRPr="002829D6" w:rsidTr="002829D6">
        <w:tc>
          <w:tcPr>
            <w:tcW w:w="2442" w:type="dxa"/>
            <w:gridSpan w:val="2"/>
            <w:shd w:val="clear" w:color="auto" w:fill="auto"/>
            <w:vAlign w:val="center"/>
          </w:tcPr>
          <w:p w:rsidR="00894C7A" w:rsidRPr="002829D6" w:rsidRDefault="00ED551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FY2</w:t>
            </w:r>
          </w:p>
        </w:tc>
        <w:tc>
          <w:tcPr>
            <w:tcW w:w="1417" w:type="dxa"/>
            <w:shd w:val="clear" w:color="auto" w:fill="auto"/>
            <w:vAlign w:val="center"/>
          </w:tcPr>
          <w:p w:rsidR="00894C7A"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894C7A" w:rsidRDefault="0044029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276" w:type="dxa"/>
            <w:shd w:val="clear" w:color="auto" w:fill="auto"/>
            <w:vAlign w:val="center"/>
          </w:tcPr>
          <w:p w:rsidR="00894C7A" w:rsidRPr="00483C61" w:rsidRDefault="0044029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468" w:type="dxa"/>
            <w:shd w:val="clear" w:color="auto" w:fill="auto"/>
            <w:vAlign w:val="center"/>
          </w:tcPr>
          <w:p w:rsidR="00894C7A" w:rsidRPr="00483C61" w:rsidRDefault="0044029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894C7A" w:rsidRPr="002829D6" w:rsidTr="002829D6">
        <w:tc>
          <w:tcPr>
            <w:tcW w:w="2442" w:type="dxa"/>
            <w:gridSpan w:val="2"/>
            <w:shd w:val="clear" w:color="auto" w:fill="auto"/>
            <w:vAlign w:val="center"/>
          </w:tcPr>
          <w:p w:rsidR="00894C7A" w:rsidRPr="002829D6" w:rsidRDefault="00ED551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CT1</w:t>
            </w:r>
          </w:p>
        </w:tc>
        <w:tc>
          <w:tcPr>
            <w:tcW w:w="1417" w:type="dxa"/>
            <w:shd w:val="clear" w:color="auto" w:fill="auto"/>
            <w:vAlign w:val="center"/>
          </w:tcPr>
          <w:p w:rsidR="00894C7A"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59" w:type="dxa"/>
            <w:shd w:val="clear" w:color="auto" w:fill="auto"/>
            <w:vAlign w:val="center"/>
          </w:tcPr>
          <w:p w:rsidR="00894C7A" w:rsidRDefault="0043500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p>
        </w:tc>
        <w:tc>
          <w:tcPr>
            <w:tcW w:w="1276" w:type="dxa"/>
            <w:shd w:val="clear" w:color="auto" w:fill="auto"/>
            <w:vAlign w:val="center"/>
          </w:tcPr>
          <w:p w:rsidR="00894C7A" w:rsidRPr="00483C61" w:rsidRDefault="0044029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c>
          <w:tcPr>
            <w:tcW w:w="1468" w:type="dxa"/>
            <w:shd w:val="clear" w:color="auto" w:fill="auto"/>
            <w:vAlign w:val="center"/>
          </w:tcPr>
          <w:p w:rsidR="00894C7A" w:rsidRPr="00483C61"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894C7A" w:rsidRPr="002829D6" w:rsidTr="002829D6">
        <w:tc>
          <w:tcPr>
            <w:tcW w:w="2442" w:type="dxa"/>
            <w:gridSpan w:val="2"/>
            <w:shd w:val="clear" w:color="auto" w:fill="auto"/>
            <w:vAlign w:val="center"/>
          </w:tcPr>
          <w:p w:rsidR="00894C7A" w:rsidRPr="002829D6" w:rsidRDefault="00ED551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CT2</w:t>
            </w:r>
          </w:p>
        </w:tc>
        <w:tc>
          <w:tcPr>
            <w:tcW w:w="1417" w:type="dxa"/>
            <w:shd w:val="clear" w:color="auto" w:fill="auto"/>
            <w:vAlign w:val="center"/>
          </w:tcPr>
          <w:p w:rsidR="00894C7A"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59" w:type="dxa"/>
            <w:shd w:val="clear" w:color="auto" w:fill="auto"/>
            <w:vAlign w:val="center"/>
          </w:tcPr>
          <w:p w:rsidR="00894C7A" w:rsidRDefault="0044029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14</w:t>
            </w:r>
          </w:p>
        </w:tc>
        <w:tc>
          <w:tcPr>
            <w:tcW w:w="1276" w:type="dxa"/>
            <w:shd w:val="clear" w:color="auto" w:fill="auto"/>
            <w:vAlign w:val="center"/>
          </w:tcPr>
          <w:p w:rsidR="00894C7A" w:rsidRPr="00483C61" w:rsidRDefault="0044029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14</w:t>
            </w:r>
          </w:p>
        </w:tc>
        <w:tc>
          <w:tcPr>
            <w:tcW w:w="1468" w:type="dxa"/>
            <w:shd w:val="clear" w:color="auto" w:fill="auto"/>
            <w:vAlign w:val="center"/>
          </w:tcPr>
          <w:p w:rsidR="00894C7A" w:rsidRPr="00483C61"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F75F0B" w:rsidRPr="002829D6" w:rsidTr="002829D6">
        <w:tc>
          <w:tcPr>
            <w:tcW w:w="2442" w:type="dxa"/>
            <w:gridSpan w:val="2"/>
            <w:shd w:val="clear" w:color="auto" w:fill="auto"/>
            <w:vAlign w:val="center"/>
          </w:tcPr>
          <w:p w:rsidR="00F75F0B" w:rsidRDefault="00F75F0B"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CT3</w:t>
            </w:r>
          </w:p>
        </w:tc>
        <w:tc>
          <w:tcPr>
            <w:tcW w:w="1417" w:type="dxa"/>
            <w:shd w:val="clear" w:color="auto" w:fill="auto"/>
            <w:vAlign w:val="center"/>
          </w:tcPr>
          <w:p w:rsidR="00F75F0B"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59" w:type="dxa"/>
            <w:shd w:val="clear" w:color="auto" w:fill="auto"/>
            <w:vAlign w:val="center"/>
          </w:tcPr>
          <w:p w:rsidR="00F75F0B"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276" w:type="dxa"/>
            <w:shd w:val="clear" w:color="auto" w:fill="auto"/>
            <w:vAlign w:val="center"/>
          </w:tcPr>
          <w:p w:rsidR="00F75F0B"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468" w:type="dxa"/>
            <w:shd w:val="clear" w:color="auto" w:fill="auto"/>
            <w:vAlign w:val="center"/>
          </w:tcPr>
          <w:p w:rsidR="00F75F0B"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1C5C98" w:rsidRPr="002829D6" w:rsidTr="002829D6">
        <w:tc>
          <w:tcPr>
            <w:tcW w:w="2442" w:type="dxa"/>
            <w:gridSpan w:val="2"/>
            <w:shd w:val="clear" w:color="auto" w:fill="auto"/>
            <w:vAlign w:val="center"/>
          </w:tcPr>
          <w:p w:rsidR="001C5C98" w:rsidRDefault="001C5C9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ST1 - 2</w:t>
            </w:r>
          </w:p>
        </w:tc>
        <w:tc>
          <w:tcPr>
            <w:tcW w:w="1417" w:type="dxa"/>
            <w:shd w:val="clear" w:color="auto" w:fill="auto"/>
            <w:vAlign w:val="center"/>
          </w:tcPr>
          <w:p w:rsidR="001C5C98"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1C5C98" w:rsidRDefault="0044029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25</w:t>
            </w:r>
          </w:p>
        </w:tc>
        <w:tc>
          <w:tcPr>
            <w:tcW w:w="1276" w:type="dxa"/>
            <w:shd w:val="clear" w:color="auto" w:fill="auto"/>
            <w:vAlign w:val="center"/>
          </w:tcPr>
          <w:p w:rsidR="001C5C98"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24</w:t>
            </w:r>
          </w:p>
        </w:tc>
        <w:tc>
          <w:tcPr>
            <w:tcW w:w="1468" w:type="dxa"/>
            <w:shd w:val="clear" w:color="auto" w:fill="auto"/>
            <w:vAlign w:val="center"/>
          </w:tcPr>
          <w:p w:rsidR="001C5C98"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40040D" w:rsidRPr="002829D6" w:rsidTr="002829D6">
        <w:tc>
          <w:tcPr>
            <w:tcW w:w="2442" w:type="dxa"/>
            <w:gridSpan w:val="2"/>
            <w:shd w:val="clear" w:color="auto" w:fill="auto"/>
            <w:vAlign w:val="center"/>
          </w:tcPr>
          <w:p w:rsidR="0040040D" w:rsidRPr="002829D6" w:rsidRDefault="00894C7A"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w:t>
            </w:r>
            <w:r w:rsidR="00ED5513">
              <w:rPr>
                <w:rFonts w:ascii="Arial" w:hAnsi="Arial" w:cs="Arial"/>
                <w:sz w:val="16"/>
                <w:szCs w:val="16"/>
              </w:rPr>
              <w:t>T3 +</w:t>
            </w:r>
          </w:p>
        </w:tc>
        <w:tc>
          <w:tcPr>
            <w:tcW w:w="1417" w:type="dxa"/>
            <w:shd w:val="clear" w:color="auto" w:fill="auto"/>
            <w:vAlign w:val="center"/>
          </w:tcPr>
          <w:p w:rsidR="0040040D" w:rsidRPr="002829D6" w:rsidRDefault="0087663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40040D" w:rsidRPr="002829D6" w:rsidRDefault="0044029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14</w:t>
            </w:r>
          </w:p>
        </w:tc>
        <w:tc>
          <w:tcPr>
            <w:tcW w:w="1276"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w:t>
            </w:r>
          </w:p>
        </w:tc>
        <w:tc>
          <w:tcPr>
            <w:tcW w:w="1468"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p>
        </w:tc>
      </w:tr>
      <w:tr w:rsidR="0040040D" w:rsidRPr="002829D6" w:rsidTr="002829D6">
        <w:tc>
          <w:tcPr>
            <w:tcW w:w="2442" w:type="dxa"/>
            <w:gridSpan w:val="2"/>
            <w:shd w:val="clear" w:color="auto" w:fill="auto"/>
            <w:vAlign w:val="center"/>
          </w:tcPr>
          <w:p w:rsidR="0040040D" w:rsidRPr="002829D6" w:rsidRDefault="0040040D"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1417" w:type="dxa"/>
            <w:shd w:val="clear" w:color="auto" w:fill="auto"/>
            <w:vAlign w:val="center"/>
          </w:tcPr>
          <w:p w:rsidR="0040040D" w:rsidRPr="002829D6"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4</w:t>
            </w:r>
          </w:p>
        </w:tc>
        <w:tc>
          <w:tcPr>
            <w:tcW w:w="1559" w:type="dxa"/>
            <w:shd w:val="clear" w:color="auto" w:fill="auto"/>
            <w:vAlign w:val="center"/>
          </w:tcPr>
          <w:p w:rsidR="0040040D" w:rsidRPr="002829D6" w:rsidRDefault="00435009"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202</w:t>
            </w:r>
          </w:p>
        </w:tc>
        <w:tc>
          <w:tcPr>
            <w:tcW w:w="1276"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168</w:t>
            </w:r>
          </w:p>
        </w:tc>
        <w:tc>
          <w:tcPr>
            <w:tcW w:w="1468"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38</w:t>
            </w:r>
          </w:p>
        </w:tc>
      </w:tr>
    </w:tbl>
    <w:p w:rsidR="0040040D" w:rsidRDefault="0040040D" w:rsidP="00B51597">
      <w:pPr>
        <w:pStyle w:val="ListParagraph"/>
        <w:ind w:left="360"/>
        <w:contextualSpacing/>
        <w:jc w:val="both"/>
        <w:rPr>
          <w:rFonts w:ascii="Arial" w:hAnsi="Arial" w:cs="Arial"/>
          <w:sz w:val="21"/>
          <w:szCs w:val="21"/>
        </w:rPr>
      </w:pPr>
    </w:p>
    <w:p w:rsidR="00CC6454" w:rsidRDefault="00CC6454" w:rsidP="00B51597">
      <w:pPr>
        <w:pStyle w:val="ListParagraph"/>
        <w:ind w:left="360"/>
        <w:contextualSpacing/>
        <w:jc w:val="both"/>
        <w:rPr>
          <w:rFonts w:ascii="Arial" w:hAnsi="Arial" w:cs="Arial"/>
          <w:sz w:val="21"/>
          <w:szCs w:val="21"/>
        </w:rPr>
      </w:pPr>
    </w:p>
    <w:p w:rsidR="00CC6454" w:rsidRDefault="00CC6454" w:rsidP="00CE0326">
      <w:pPr>
        <w:pStyle w:val="ListParagraph"/>
        <w:ind w:left="360"/>
        <w:contextualSpacing/>
        <w:jc w:val="center"/>
        <w:rPr>
          <w:rFonts w:ascii="Arial" w:hAnsi="Arial" w:cs="Arial"/>
          <w:sz w:val="21"/>
          <w:szCs w:val="21"/>
        </w:rPr>
      </w:pPr>
      <w:r>
        <w:rPr>
          <w:rFonts w:ascii="Arial" w:hAnsi="Arial" w:cs="Arial"/>
          <w:noProof/>
          <w:sz w:val="21"/>
          <w:szCs w:val="21"/>
          <w:lang w:eastAsia="en-GB"/>
        </w:rPr>
        <w:drawing>
          <wp:inline distT="0" distB="0" distL="0" distR="0" wp14:anchorId="259F67A1" wp14:editId="6F573F09">
            <wp:extent cx="5271714" cy="3800724"/>
            <wp:effectExtent l="0" t="0" r="2476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6454" w:rsidRDefault="00CC6454" w:rsidP="00B51597">
      <w:pPr>
        <w:pStyle w:val="ListParagraph"/>
        <w:ind w:left="360"/>
        <w:contextualSpacing/>
        <w:jc w:val="both"/>
        <w:rPr>
          <w:rFonts w:ascii="Arial" w:hAnsi="Arial" w:cs="Arial"/>
          <w:sz w:val="21"/>
          <w:szCs w:val="21"/>
        </w:rPr>
      </w:pPr>
    </w:p>
    <w:p w:rsidR="00CC6454" w:rsidRDefault="00CC6454" w:rsidP="00B51597">
      <w:pPr>
        <w:pStyle w:val="ListParagraph"/>
        <w:ind w:left="360"/>
        <w:contextualSpacing/>
        <w:jc w:val="both"/>
        <w:rPr>
          <w:rFonts w:ascii="Arial" w:hAnsi="Arial" w:cs="Arial"/>
          <w:sz w:val="21"/>
          <w:szCs w:val="21"/>
        </w:rPr>
      </w:pPr>
    </w:p>
    <w:p w:rsidR="00CC6454" w:rsidRDefault="00CC6454" w:rsidP="00B51597">
      <w:pPr>
        <w:pStyle w:val="ListParagraph"/>
        <w:ind w:left="360"/>
        <w:contextualSpacing/>
        <w:jc w:val="both"/>
        <w:rPr>
          <w:rFonts w:ascii="Arial" w:hAnsi="Arial" w:cs="Arial"/>
          <w:sz w:val="21"/>
          <w:szCs w:val="21"/>
        </w:rPr>
      </w:pPr>
    </w:p>
    <w:p w:rsidR="00520695" w:rsidRDefault="00520695" w:rsidP="00BA0AF1">
      <w:pPr>
        <w:pStyle w:val="ListParagraph"/>
        <w:ind w:left="0"/>
        <w:contextualSpacing/>
        <w:jc w:val="both"/>
        <w:rPr>
          <w:noProof/>
          <w:lang w:eastAsia="en-GB"/>
        </w:rPr>
      </w:pPr>
    </w:p>
    <w:p w:rsidR="00BA0AF1" w:rsidRPr="00E56E3C" w:rsidRDefault="00BA0AF1" w:rsidP="00BA0AF1">
      <w:pPr>
        <w:pStyle w:val="ListParagraph"/>
        <w:ind w:left="0"/>
        <w:contextualSpacing/>
        <w:jc w:val="both"/>
        <w:rPr>
          <w:noProof/>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09"/>
        <w:gridCol w:w="1134"/>
        <w:gridCol w:w="1417"/>
        <w:gridCol w:w="1559"/>
        <w:gridCol w:w="1276"/>
        <w:gridCol w:w="1468"/>
      </w:tblGrid>
      <w:tr w:rsidR="00D41866" w:rsidRPr="002829D6" w:rsidTr="002829D6">
        <w:tc>
          <w:tcPr>
            <w:tcW w:w="599" w:type="dxa"/>
            <w:tcBorders>
              <w:bottom w:val="single" w:sz="4" w:space="0" w:color="auto"/>
              <w:right w:val="nil"/>
            </w:tcBorders>
            <w:shd w:val="clear" w:color="auto" w:fill="BFBFBF"/>
          </w:tcPr>
          <w:p w:rsidR="0040040D" w:rsidRPr="002829D6" w:rsidRDefault="009D6D61" w:rsidP="002829D6">
            <w:pPr>
              <w:pStyle w:val="ListParagraph"/>
              <w:spacing w:before="60" w:after="60" w:line="240" w:lineRule="auto"/>
              <w:ind w:left="0"/>
              <w:contextualSpacing/>
              <w:jc w:val="both"/>
              <w:rPr>
                <w:rFonts w:ascii="Arial" w:hAnsi="Arial" w:cs="Arial"/>
                <w:b/>
                <w:sz w:val="21"/>
                <w:szCs w:val="21"/>
              </w:rPr>
            </w:pPr>
            <w:r>
              <w:rPr>
                <w:rFonts w:ascii="Arial" w:hAnsi="Arial" w:cs="Arial"/>
                <w:b/>
                <w:sz w:val="21"/>
                <w:szCs w:val="21"/>
              </w:rPr>
              <w:lastRenderedPageBreak/>
              <w:t>3.</w:t>
            </w:r>
            <w:r w:rsidR="00F85670">
              <w:rPr>
                <w:rFonts w:ascii="Arial" w:hAnsi="Arial" w:cs="Arial"/>
                <w:b/>
                <w:sz w:val="21"/>
                <w:szCs w:val="21"/>
              </w:rPr>
              <w:t>3</w:t>
            </w:r>
          </w:p>
        </w:tc>
        <w:tc>
          <w:tcPr>
            <w:tcW w:w="7563" w:type="dxa"/>
            <w:gridSpan w:val="6"/>
            <w:tcBorders>
              <w:left w:val="nil"/>
              <w:right w:val="single" w:sz="4" w:space="0" w:color="auto"/>
            </w:tcBorders>
            <w:shd w:val="clear" w:color="auto" w:fill="BFBFBF"/>
            <w:vAlign w:val="center"/>
          </w:tcPr>
          <w:p w:rsidR="0040040D" w:rsidRPr="002829D6" w:rsidRDefault="0040040D"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Exception reports by rota</w:t>
            </w:r>
          </w:p>
        </w:tc>
      </w:tr>
      <w:tr w:rsidR="00FD1C94" w:rsidRPr="002829D6" w:rsidTr="002829D6">
        <w:tc>
          <w:tcPr>
            <w:tcW w:w="599" w:type="dxa"/>
            <w:tcBorders>
              <w:right w:val="nil"/>
            </w:tcBorders>
            <w:shd w:val="clear" w:color="auto" w:fill="auto"/>
          </w:tcPr>
          <w:p w:rsidR="00FD1C94" w:rsidRPr="002829D6" w:rsidRDefault="00FD1C94" w:rsidP="002829D6">
            <w:pPr>
              <w:pStyle w:val="ListParagraph"/>
              <w:spacing w:before="60" w:after="60" w:line="240" w:lineRule="auto"/>
              <w:ind w:left="0"/>
              <w:contextualSpacing/>
              <w:jc w:val="both"/>
              <w:rPr>
                <w:rFonts w:ascii="Arial" w:hAnsi="Arial" w:cs="Arial"/>
                <w:b/>
                <w:sz w:val="21"/>
                <w:szCs w:val="21"/>
              </w:rPr>
            </w:pPr>
          </w:p>
        </w:tc>
        <w:tc>
          <w:tcPr>
            <w:tcW w:w="709" w:type="dxa"/>
            <w:tcBorders>
              <w:left w:val="nil"/>
              <w:right w:val="nil"/>
            </w:tcBorders>
            <w:shd w:val="clear" w:color="auto" w:fill="D9D9D9"/>
            <w:vAlign w:val="center"/>
          </w:tcPr>
          <w:p w:rsidR="00FD1C94" w:rsidRPr="002829D6" w:rsidRDefault="009D6D61" w:rsidP="002829D6">
            <w:pPr>
              <w:pStyle w:val="ListParagraph"/>
              <w:spacing w:before="60" w:after="60" w:line="240" w:lineRule="auto"/>
              <w:ind w:left="0"/>
              <w:contextualSpacing/>
              <w:rPr>
                <w:rFonts w:ascii="Arial" w:hAnsi="Arial" w:cs="Arial"/>
                <w:b/>
                <w:sz w:val="21"/>
                <w:szCs w:val="21"/>
              </w:rPr>
            </w:pPr>
            <w:r>
              <w:rPr>
                <w:rFonts w:ascii="Arial" w:hAnsi="Arial" w:cs="Arial"/>
                <w:b/>
                <w:sz w:val="21"/>
                <w:szCs w:val="21"/>
              </w:rPr>
              <w:t>3.</w:t>
            </w:r>
            <w:r w:rsidR="00F85670">
              <w:rPr>
                <w:rFonts w:ascii="Arial" w:hAnsi="Arial" w:cs="Arial"/>
                <w:b/>
                <w:sz w:val="21"/>
                <w:szCs w:val="21"/>
              </w:rPr>
              <w:t>3</w:t>
            </w:r>
            <w:r w:rsidR="00FD1C94" w:rsidRPr="002829D6">
              <w:rPr>
                <w:rFonts w:ascii="Arial" w:hAnsi="Arial" w:cs="Arial"/>
                <w:b/>
                <w:sz w:val="21"/>
                <w:szCs w:val="21"/>
              </w:rPr>
              <w:t>.1</w:t>
            </w:r>
          </w:p>
        </w:tc>
        <w:tc>
          <w:tcPr>
            <w:tcW w:w="6854" w:type="dxa"/>
            <w:gridSpan w:val="5"/>
            <w:tcBorders>
              <w:left w:val="nil"/>
              <w:right w:val="single" w:sz="4" w:space="0" w:color="auto"/>
            </w:tcBorders>
            <w:shd w:val="clear" w:color="auto" w:fill="D9D9D9"/>
            <w:vAlign w:val="center"/>
          </w:tcPr>
          <w:p w:rsidR="00FD1C94" w:rsidRPr="002829D6" w:rsidRDefault="00842141" w:rsidP="002829D6">
            <w:pPr>
              <w:pStyle w:val="ListParagraph"/>
              <w:spacing w:before="60" w:after="60" w:line="240" w:lineRule="auto"/>
              <w:ind w:left="0"/>
              <w:contextualSpacing/>
              <w:rPr>
                <w:rFonts w:ascii="Arial" w:hAnsi="Arial" w:cs="Arial"/>
                <w:b/>
                <w:sz w:val="21"/>
                <w:szCs w:val="21"/>
              </w:rPr>
            </w:pPr>
            <w:r>
              <w:rPr>
                <w:rFonts w:ascii="Arial" w:hAnsi="Arial" w:cs="Arial"/>
                <w:b/>
                <w:sz w:val="21"/>
                <w:szCs w:val="21"/>
              </w:rPr>
              <w:t>ORC</w:t>
            </w:r>
          </w:p>
        </w:tc>
      </w:tr>
      <w:tr w:rsidR="0040040D" w:rsidRPr="002829D6" w:rsidTr="002829D6">
        <w:tc>
          <w:tcPr>
            <w:tcW w:w="2442" w:type="dxa"/>
            <w:gridSpan w:val="3"/>
            <w:shd w:val="clear" w:color="auto" w:fill="auto"/>
            <w:vAlign w:val="center"/>
          </w:tcPr>
          <w:p w:rsidR="0040040D" w:rsidRPr="002829D6" w:rsidRDefault="0040040D"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417" w:type="dxa"/>
            <w:shd w:val="clear" w:color="auto" w:fill="auto"/>
            <w:vAlign w:val="center"/>
          </w:tcPr>
          <w:p w:rsidR="0040040D" w:rsidRPr="002829D6" w:rsidRDefault="0040040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carried over from last report</w:t>
            </w:r>
          </w:p>
        </w:tc>
        <w:tc>
          <w:tcPr>
            <w:tcW w:w="1559" w:type="dxa"/>
            <w:shd w:val="clear" w:color="auto" w:fill="auto"/>
            <w:vAlign w:val="center"/>
          </w:tcPr>
          <w:p w:rsidR="0040040D" w:rsidRPr="002829D6" w:rsidRDefault="0040040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raised</w:t>
            </w:r>
            <w:r w:rsidR="00C3387B">
              <w:rPr>
                <w:rFonts w:ascii="Arial" w:hAnsi="Arial" w:cs="Arial"/>
                <w:b/>
                <w:sz w:val="16"/>
                <w:szCs w:val="16"/>
              </w:rPr>
              <w:t xml:space="preserve"> in this quarter</w:t>
            </w:r>
          </w:p>
        </w:tc>
        <w:tc>
          <w:tcPr>
            <w:tcW w:w="1276" w:type="dxa"/>
            <w:shd w:val="clear" w:color="auto" w:fill="auto"/>
            <w:vAlign w:val="center"/>
          </w:tcPr>
          <w:p w:rsidR="0040040D" w:rsidRPr="002829D6" w:rsidRDefault="0040040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closed</w:t>
            </w:r>
          </w:p>
        </w:tc>
        <w:tc>
          <w:tcPr>
            <w:tcW w:w="1468" w:type="dxa"/>
            <w:shd w:val="clear" w:color="auto" w:fill="auto"/>
            <w:vAlign w:val="center"/>
          </w:tcPr>
          <w:p w:rsidR="0040040D" w:rsidRPr="002829D6" w:rsidRDefault="0040040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outstanding</w:t>
            </w:r>
          </w:p>
        </w:tc>
      </w:tr>
      <w:tr w:rsidR="0040040D" w:rsidRPr="002829D6" w:rsidTr="002829D6">
        <w:tc>
          <w:tcPr>
            <w:tcW w:w="2442" w:type="dxa"/>
            <w:gridSpan w:val="3"/>
            <w:shd w:val="clear" w:color="auto" w:fill="auto"/>
            <w:vAlign w:val="center"/>
          </w:tcPr>
          <w:p w:rsidR="0040040D" w:rsidRPr="002829D6" w:rsidRDefault="00A45D70"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St Mary’s - O&amp;G</w:t>
            </w:r>
          </w:p>
        </w:tc>
        <w:tc>
          <w:tcPr>
            <w:tcW w:w="1417" w:type="dxa"/>
            <w:shd w:val="clear" w:color="auto" w:fill="auto"/>
            <w:vAlign w:val="center"/>
          </w:tcPr>
          <w:p w:rsidR="0040040D" w:rsidRPr="002829D6" w:rsidRDefault="001C5C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40040D" w:rsidRPr="002829D6" w:rsidRDefault="00A45D70"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c>
          <w:tcPr>
            <w:tcW w:w="1276" w:type="dxa"/>
            <w:shd w:val="clear" w:color="auto" w:fill="auto"/>
            <w:vAlign w:val="center"/>
          </w:tcPr>
          <w:p w:rsidR="0040040D" w:rsidRPr="00483C61" w:rsidRDefault="00A45D70"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c>
          <w:tcPr>
            <w:tcW w:w="1468" w:type="dxa"/>
            <w:shd w:val="clear" w:color="auto" w:fill="auto"/>
            <w:vAlign w:val="center"/>
          </w:tcPr>
          <w:p w:rsidR="0040040D" w:rsidRPr="00483C61" w:rsidRDefault="00A45D70"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764EF2" w:rsidRPr="002829D6" w:rsidTr="002829D6">
        <w:tc>
          <w:tcPr>
            <w:tcW w:w="2442" w:type="dxa"/>
            <w:gridSpan w:val="3"/>
            <w:shd w:val="clear" w:color="auto" w:fill="auto"/>
            <w:vAlign w:val="center"/>
          </w:tcPr>
          <w:p w:rsidR="00764EF2" w:rsidRPr="002829D6" w:rsidRDefault="00872D94"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General Medicine  </w:t>
            </w:r>
            <w:r w:rsidR="00D14823">
              <w:rPr>
                <w:rFonts w:ascii="Arial" w:hAnsi="Arial" w:cs="Arial"/>
                <w:sz w:val="16"/>
                <w:szCs w:val="16"/>
              </w:rPr>
              <w:t>FY1</w:t>
            </w:r>
          </w:p>
        </w:tc>
        <w:tc>
          <w:tcPr>
            <w:tcW w:w="1417" w:type="dxa"/>
            <w:shd w:val="clear" w:color="auto" w:fill="auto"/>
            <w:vAlign w:val="center"/>
          </w:tcPr>
          <w:p w:rsidR="00764EF2"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59" w:type="dxa"/>
            <w:shd w:val="clear" w:color="auto" w:fill="auto"/>
            <w:vAlign w:val="center"/>
          </w:tcPr>
          <w:p w:rsidR="00764EF2" w:rsidRPr="002829D6" w:rsidRDefault="00C82E04"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41</w:t>
            </w:r>
          </w:p>
        </w:tc>
        <w:tc>
          <w:tcPr>
            <w:tcW w:w="1276" w:type="dxa"/>
            <w:shd w:val="clear" w:color="auto" w:fill="auto"/>
            <w:vAlign w:val="center"/>
          </w:tcPr>
          <w:p w:rsidR="00764EF2" w:rsidRPr="00483C61" w:rsidRDefault="00580E4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r w:rsidR="00C82E04">
              <w:rPr>
                <w:rFonts w:ascii="Arial" w:hAnsi="Arial" w:cs="Arial"/>
                <w:sz w:val="16"/>
                <w:szCs w:val="16"/>
              </w:rPr>
              <w:t>6</w:t>
            </w:r>
          </w:p>
        </w:tc>
        <w:tc>
          <w:tcPr>
            <w:tcW w:w="1468" w:type="dxa"/>
            <w:shd w:val="clear" w:color="auto" w:fill="auto"/>
            <w:vAlign w:val="center"/>
          </w:tcPr>
          <w:p w:rsidR="00764EF2"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p>
        </w:tc>
      </w:tr>
      <w:tr w:rsidR="0049543D" w:rsidRPr="002829D6" w:rsidTr="002829D6">
        <w:tc>
          <w:tcPr>
            <w:tcW w:w="2442" w:type="dxa"/>
            <w:gridSpan w:val="3"/>
            <w:shd w:val="clear" w:color="auto" w:fill="auto"/>
            <w:vAlign w:val="center"/>
          </w:tcPr>
          <w:p w:rsidR="0049543D" w:rsidRDefault="00C17EA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Respiratory medicine</w:t>
            </w:r>
          </w:p>
        </w:tc>
        <w:tc>
          <w:tcPr>
            <w:tcW w:w="1417" w:type="dxa"/>
            <w:shd w:val="clear" w:color="auto" w:fill="auto"/>
            <w:vAlign w:val="center"/>
          </w:tcPr>
          <w:p w:rsidR="0049543D" w:rsidRDefault="0043500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49543D" w:rsidRDefault="00D1482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276" w:type="dxa"/>
            <w:shd w:val="clear" w:color="auto" w:fill="auto"/>
            <w:vAlign w:val="center"/>
          </w:tcPr>
          <w:p w:rsidR="0049543D" w:rsidRDefault="00D1482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468" w:type="dxa"/>
            <w:shd w:val="clear" w:color="auto" w:fill="auto"/>
            <w:vAlign w:val="center"/>
          </w:tcPr>
          <w:p w:rsidR="0049543D" w:rsidRDefault="00D1482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C17EA8" w:rsidRPr="002829D6" w:rsidTr="002829D6">
        <w:tc>
          <w:tcPr>
            <w:tcW w:w="2442" w:type="dxa"/>
            <w:gridSpan w:val="3"/>
            <w:shd w:val="clear" w:color="auto" w:fill="auto"/>
            <w:vAlign w:val="center"/>
          </w:tcPr>
          <w:p w:rsidR="00C17EA8" w:rsidRDefault="00D1482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Surgery  FYI</w:t>
            </w:r>
          </w:p>
        </w:tc>
        <w:tc>
          <w:tcPr>
            <w:tcW w:w="1417" w:type="dxa"/>
            <w:shd w:val="clear" w:color="auto" w:fill="auto"/>
            <w:vAlign w:val="center"/>
          </w:tcPr>
          <w:p w:rsidR="00C17EA8" w:rsidRDefault="00C17EA8" w:rsidP="002829D6">
            <w:pPr>
              <w:pStyle w:val="ListParagraph"/>
              <w:spacing w:before="60" w:after="60" w:line="240" w:lineRule="auto"/>
              <w:ind w:left="0"/>
              <w:contextualSpacing/>
              <w:jc w:val="center"/>
              <w:rPr>
                <w:rFonts w:ascii="Arial" w:hAnsi="Arial" w:cs="Arial"/>
                <w:sz w:val="16"/>
                <w:szCs w:val="16"/>
              </w:rPr>
            </w:pPr>
          </w:p>
        </w:tc>
        <w:tc>
          <w:tcPr>
            <w:tcW w:w="1559" w:type="dxa"/>
            <w:shd w:val="clear" w:color="auto" w:fill="auto"/>
            <w:vAlign w:val="center"/>
          </w:tcPr>
          <w:p w:rsidR="00C17EA8" w:rsidRDefault="00D1482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31</w:t>
            </w:r>
          </w:p>
        </w:tc>
        <w:tc>
          <w:tcPr>
            <w:tcW w:w="1276" w:type="dxa"/>
            <w:shd w:val="clear" w:color="auto" w:fill="auto"/>
            <w:vAlign w:val="center"/>
          </w:tcPr>
          <w:p w:rsidR="00C17EA8" w:rsidRDefault="00D1482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25</w:t>
            </w:r>
          </w:p>
        </w:tc>
        <w:tc>
          <w:tcPr>
            <w:tcW w:w="1468" w:type="dxa"/>
            <w:shd w:val="clear" w:color="auto" w:fill="auto"/>
            <w:vAlign w:val="center"/>
          </w:tcPr>
          <w:p w:rsidR="00C17EA8" w:rsidRDefault="00D1482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p>
        </w:tc>
      </w:tr>
      <w:tr w:rsidR="0040040D" w:rsidRPr="002829D6" w:rsidTr="002829D6">
        <w:tc>
          <w:tcPr>
            <w:tcW w:w="2442" w:type="dxa"/>
            <w:gridSpan w:val="3"/>
            <w:shd w:val="clear" w:color="auto" w:fill="auto"/>
            <w:vAlign w:val="center"/>
          </w:tcPr>
          <w:p w:rsidR="00AF435E" w:rsidRPr="002829D6" w:rsidRDefault="00D1482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Vascular Surgery</w:t>
            </w:r>
          </w:p>
        </w:tc>
        <w:tc>
          <w:tcPr>
            <w:tcW w:w="1417" w:type="dxa"/>
            <w:shd w:val="clear" w:color="auto" w:fill="auto"/>
            <w:vAlign w:val="center"/>
          </w:tcPr>
          <w:p w:rsidR="00AF435E" w:rsidRPr="002829D6" w:rsidRDefault="00D1482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AF435E" w:rsidRPr="002829D6" w:rsidRDefault="00D14823" w:rsidP="00AF435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276" w:type="dxa"/>
            <w:shd w:val="clear" w:color="auto" w:fill="auto"/>
            <w:vAlign w:val="center"/>
          </w:tcPr>
          <w:p w:rsidR="00AF435E" w:rsidRPr="00483C61" w:rsidRDefault="00D14823" w:rsidP="00AF435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468" w:type="dxa"/>
            <w:shd w:val="clear" w:color="auto" w:fill="auto"/>
            <w:vAlign w:val="center"/>
          </w:tcPr>
          <w:p w:rsidR="00AF435E" w:rsidRPr="00483C61" w:rsidRDefault="00D14823" w:rsidP="00AF435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A87AAB" w:rsidRPr="002829D6" w:rsidTr="002829D6">
        <w:tc>
          <w:tcPr>
            <w:tcW w:w="2442" w:type="dxa"/>
            <w:gridSpan w:val="3"/>
            <w:shd w:val="clear" w:color="auto" w:fill="auto"/>
            <w:vAlign w:val="center"/>
          </w:tcPr>
          <w:p w:rsidR="00A87AAB" w:rsidRDefault="0049543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 Renal Medicine</w:t>
            </w:r>
          </w:p>
        </w:tc>
        <w:tc>
          <w:tcPr>
            <w:tcW w:w="1417" w:type="dxa"/>
            <w:shd w:val="clear" w:color="auto" w:fill="auto"/>
            <w:vAlign w:val="center"/>
          </w:tcPr>
          <w:p w:rsidR="00A87AAB" w:rsidRPr="002829D6" w:rsidRDefault="001C5C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A87AAB" w:rsidRDefault="004954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w:t>
            </w:r>
          </w:p>
        </w:tc>
        <w:tc>
          <w:tcPr>
            <w:tcW w:w="1276" w:type="dxa"/>
            <w:shd w:val="clear" w:color="auto" w:fill="auto"/>
            <w:vAlign w:val="center"/>
          </w:tcPr>
          <w:p w:rsidR="00A87AAB" w:rsidRPr="00483C61" w:rsidRDefault="004954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1468" w:type="dxa"/>
            <w:shd w:val="clear" w:color="auto" w:fill="auto"/>
            <w:vAlign w:val="center"/>
          </w:tcPr>
          <w:p w:rsidR="00A87AAB" w:rsidRPr="00483C61" w:rsidRDefault="004954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r>
      <w:tr w:rsidR="00A87AAB" w:rsidRPr="002829D6" w:rsidTr="003A4803">
        <w:trPr>
          <w:trHeight w:val="630"/>
        </w:trPr>
        <w:tc>
          <w:tcPr>
            <w:tcW w:w="2442" w:type="dxa"/>
            <w:gridSpan w:val="3"/>
            <w:shd w:val="clear" w:color="auto" w:fill="auto"/>
            <w:vAlign w:val="center"/>
          </w:tcPr>
          <w:p w:rsidR="00A87AAB" w:rsidRDefault="0049543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RMCH – Tertiary Paediatrics</w:t>
            </w:r>
            <w:r w:rsidR="003A4803">
              <w:rPr>
                <w:rFonts w:ascii="Arial" w:hAnsi="Arial" w:cs="Arial"/>
                <w:sz w:val="16"/>
                <w:szCs w:val="16"/>
              </w:rPr>
              <w:t xml:space="preserve"> ST1-3</w:t>
            </w:r>
          </w:p>
        </w:tc>
        <w:tc>
          <w:tcPr>
            <w:tcW w:w="1417" w:type="dxa"/>
            <w:shd w:val="clear" w:color="auto" w:fill="auto"/>
            <w:vAlign w:val="center"/>
          </w:tcPr>
          <w:p w:rsidR="00A87AAB" w:rsidRPr="002829D6" w:rsidRDefault="001C5C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A87AAB" w:rsidRDefault="00580E4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25</w:t>
            </w:r>
          </w:p>
        </w:tc>
        <w:tc>
          <w:tcPr>
            <w:tcW w:w="1276" w:type="dxa"/>
            <w:shd w:val="clear" w:color="auto" w:fill="auto"/>
            <w:vAlign w:val="center"/>
          </w:tcPr>
          <w:p w:rsidR="00A87AAB"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24</w:t>
            </w:r>
          </w:p>
        </w:tc>
        <w:tc>
          <w:tcPr>
            <w:tcW w:w="1468" w:type="dxa"/>
            <w:shd w:val="clear" w:color="auto" w:fill="auto"/>
            <w:vAlign w:val="center"/>
          </w:tcPr>
          <w:p w:rsidR="00A87AAB" w:rsidRPr="00483C61"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3A4803" w:rsidRPr="002829D6" w:rsidTr="00580E4B">
        <w:trPr>
          <w:trHeight w:val="350"/>
        </w:trPr>
        <w:tc>
          <w:tcPr>
            <w:tcW w:w="2442" w:type="dxa"/>
            <w:gridSpan w:val="3"/>
            <w:shd w:val="clear" w:color="auto" w:fill="auto"/>
            <w:vAlign w:val="center"/>
          </w:tcPr>
          <w:p w:rsidR="003A4803" w:rsidRDefault="003A480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RMCH –  CAMHs Senior –ST3</w:t>
            </w:r>
          </w:p>
        </w:tc>
        <w:tc>
          <w:tcPr>
            <w:tcW w:w="1417" w:type="dxa"/>
            <w:shd w:val="clear" w:color="auto" w:fill="auto"/>
            <w:vAlign w:val="center"/>
          </w:tcPr>
          <w:p w:rsidR="003A4803" w:rsidRDefault="003A480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3A4803" w:rsidRDefault="003A480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1276" w:type="dxa"/>
            <w:shd w:val="clear" w:color="auto" w:fill="auto"/>
            <w:vAlign w:val="center"/>
          </w:tcPr>
          <w:p w:rsidR="003A4803" w:rsidRDefault="003A480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1468" w:type="dxa"/>
            <w:shd w:val="clear" w:color="auto" w:fill="auto"/>
            <w:vAlign w:val="center"/>
          </w:tcPr>
          <w:p w:rsidR="003A4803" w:rsidRDefault="003A480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580E4B" w:rsidRPr="002829D6" w:rsidTr="002829D6">
        <w:tc>
          <w:tcPr>
            <w:tcW w:w="2442" w:type="dxa"/>
            <w:gridSpan w:val="3"/>
            <w:shd w:val="clear" w:color="auto" w:fill="auto"/>
            <w:vAlign w:val="center"/>
          </w:tcPr>
          <w:p w:rsidR="00580E4B" w:rsidRDefault="00842141"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RMCH – General paediatrics  St1-3</w:t>
            </w:r>
          </w:p>
        </w:tc>
        <w:tc>
          <w:tcPr>
            <w:tcW w:w="1417" w:type="dxa"/>
            <w:shd w:val="clear" w:color="auto" w:fill="auto"/>
            <w:vAlign w:val="center"/>
          </w:tcPr>
          <w:p w:rsidR="00580E4B" w:rsidRDefault="00842141"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580E4B" w:rsidRDefault="00842141"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276" w:type="dxa"/>
            <w:shd w:val="clear" w:color="auto" w:fill="auto"/>
            <w:vAlign w:val="center"/>
          </w:tcPr>
          <w:p w:rsidR="00580E4B" w:rsidRDefault="00842141"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468" w:type="dxa"/>
            <w:shd w:val="clear" w:color="auto" w:fill="auto"/>
            <w:vAlign w:val="center"/>
          </w:tcPr>
          <w:p w:rsidR="00580E4B" w:rsidRDefault="00842141"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FB1237" w:rsidRPr="002829D6" w:rsidTr="002829D6">
        <w:tc>
          <w:tcPr>
            <w:tcW w:w="2442" w:type="dxa"/>
            <w:gridSpan w:val="3"/>
            <w:shd w:val="clear" w:color="auto" w:fill="auto"/>
            <w:vAlign w:val="center"/>
          </w:tcPr>
          <w:p w:rsidR="00FB1237" w:rsidRDefault="00FB1237"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R</w:t>
            </w:r>
            <w:r w:rsidRPr="0087663A">
              <w:rPr>
                <w:rFonts w:ascii="Arial" w:hAnsi="Arial" w:cs="Arial"/>
                <w:i/>
                <w:sz w:val="16"/>
                <w:szCs w:val="16"/>
              </w:rPr>
              <w:t>EH</w:t>
            </w:r>
            <w:r>
              <w:rPr>
                <w:rFonts w:ascii="Arial" w:hAnsi="Arial" w:cs="Arial"/>
                <w:sz w:val="16"/>
                <w:szCs w:val="16"/>
              </w:rPr>
              <w:t xml:space="preserve"> </w:t>
            </w:r>
            <w:r w:rsidR="00D14823">
              <w:rPr>
                <w:rFonts w:ascii="Arial" w:hAnsi="Arial" w:cs="Arial"/>
                <w:sz w:val="16"/>
                <w:szCs w:val="16"/>
              </w:rPr>
              <w:t>–</w:t>
            </w:r>
            <w:r>
              <w:rPr>
                <w:rFonts w:ascii="Arial" w:hAnsi="Arial" w:cs="Arial"/>
                <w:sz w:val="16"/>
                <w:szCs w:val="16"/>
              </w:rPr>
              <w:t xml:space="preserve"> Ophthalmology</w:t>
            </w:r>
            <w:r w:rsidR="00D14823">
              <w:rPr>
                <w:rFonts w:ascii="Arial" w:hAnsi="Arial" w:cs="Arial"/>
                <w:sz w:val="16"/>
                <w:szCs w:val="16"/>
              </w:rPr>
              <w:t xml:space="preserve"> – FY2</w:t>
            </w:r>
          </w:p>
        </w:tc>
        <w:tc>
          <w:tcPr>
            <w:tcW w:w="1417" w:type="dxa"/>
            <w:shd w:val="clear" w:color="auto" w:fill="auto"/>
            <w:vAlign w:val="center"/>
          </w:tcPr>
          <w:p w:rsidR="00FB1237" w:rsidRPr="002829D6" w:rsidRDefault="001C5C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FB1237" w:rsidRDefault="004954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276" w:type="dxa"/>
            <w:shd w:val="clear" w:color="auto" w:fill="auto"/>
            <w:vAlign w:val="center"/>
          </w:tcPr>
          <w:p w:rsidR="00FB1237" w:rsidRPr="00483C61" w:rsidRDefault="004954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468" w:type="dxa"/>
            <w:shd w:val="clear" w:color="auto" w:fill="auto"/>
            <w:vAlign w:val="center"/>
          </w:tcPr>
          <w:p w:rsidR="00FB1237" w:rsidRPr="00483C61" w:rsidRDefault="0049543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40040D" w:rsidRPr="002829D6" w:rsidTr="002829D6">
        <w:tc>
          <w:tcPr>
            <w:tcW w:w="2442" w:type="dxa"/>
            <w:gridSpan w:val="3"/>
            <w:shd w:val="clear" w:color="auto" w:fill="auto"/>
            <w:vAlign w:val="center"/>
          </w:tcPr>
          <w:p w:rsidR="0040040D" w:rsidRPr="002829D6" w:rsidRDefault="0040040D"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1417" w:type="dxa"/>
            <w:shd w:val="clear" w:color="auto" w:fill="auto"/>
            <w:vAlign w:val="center"/>
          </w:tcPr>
          <w:p w:rsidR="0040040D" w:rsidRPr="002829D6" w:rsidRDefault="0087663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w:t>
            </w:r>
          </w:p>
        </w:tc>
        <w:tc>
          <w:tcPr>
            <w:tcW w:w="1559" w:type="dxa"/>
            <w:shd w:val="clear" w:color="auto" w:fill="auto"/>
            <w:vAlign w:val="center"/>
          </w:tcPr>
          <w:p w:rsidR="0040040D" w:rsidRPr="002829D6" w:rsidRDefault="003A4803"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118</w:t>
            </w:r>
          </w:p>
        </w:tc>
        <w:tc>
          <w:tcPr>
            <w:tcW w:w="1276"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101</w:t>
            </w:r>
          </w:p>
        </w:tc>
        <w:tc>
          <w:tcPr>
            <w:tcW w:w="1468" w:type="dxa"/>
            <w:shd w:val="clear" w:color="auto" w:fill="auto"/>
            <w:vAlign w:val="center"/>
          </w:tcPr>
          <w:p w:rsidR="0040040D" w:rsidRPr="00483C61"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18</w:t>
            </w:r>
          </w:p>
        </w:tc>
      </w:tr>
    </w:tbl>
    <w:p w:rsidR="0040040D" w:rsidRDefault="0040040D" w:rsidP="00B51597">
      <w:pPr>
        <w:pStyle w:val="ListParagraph"/>
        <w:ind w:left="360"/>
        <w:contextualSpacing/>
        <w:jc w:val="both"/>
        <w:rPr>
          <w:rFonts w:ascii="Arial" w:hAnsi="Arial" w:cs="Arial"/>
          <w:sz w:val="21"/>
          <w:szCs w:val="21"/>
        </w:rPr>
      </w:pPr>
    </w:p>
    <w:p w:rsidR="00AC7BC5" w:rsidRDefault="00AC7BC5" w:rsidP="00B51597">
      <w:pPr>
        <w:pStyle w:val="ListParagraph"/>
        <w:ind w:left="36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09"/>
        <w:gridCol w:w="1134"/>
        <w:gridCol w:w="1417"/>
        <w:gridCol w:w="1559"/>
        <w:gridCol w:w="1276"/>
        <w:gridCol w:w="1468"/>
      </w:tblGrid>
      <w:tr w:rsidR="00FD1C94" w:rsidRPr="002829D6" w:rsidTr="002829D6">
        <w:tc>
          <w:tcPr>
            <w:tcW w:w="599" w:type="dxa"/>
            <w:tcBorders>
              <w:right w:val="nil"/>
            </w:tcBorders>
            <w:shd w:val="clear" w:color="auto" w:fill="auto"/>
          </w:tcPr>
          <w:p w:rsidR="00FD1C94" w:rsidRPr="002829D6" w:rsidRDefault="00FD1C94" w:rsidP="002829D6">
            <w:pPr>
              <w:pStyle w:val="ListParagraph"/>
              <w:spacing w:before="60" w:after="60" w:line="240" w:lineRule="auto"/>
              <w:ind w:left="0"/>
              <w:contextualSpacing/>
              <w:jc w:val="both"/>
              <w:rPr>
                <w:rFonts w:ascii="Arial" w:hAnsi="Arial" w:cs="Arial"/>
                <w:b/>
                <w:sz w:val="21"/>
                <w:szCs w:val="21"/>
              </w:rPr>
            </w:pPr>
          </w:p>
        </w:tc>
        <w:tc>
          <w:tcPr>
            <w:tcW w:w="709" w:type="dxa"/>
            <w:tcBorders>
              <w:left w:val="nil"/>
              <w:right w:val="nil"/>
            </w:tcBorders>
            <w:shd w:val="clear" w:color="auto" w:fill="D9D9D9"/>
            <w:vAlign w:val="center"/>
          </w:tcPr>
          <w:p w:rsidR="00FD1C94" w:rsidRPr="002829D6" w:rsidRDefault="00FD1C94"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3.3.2</w:t>
            </w:r>
          </w:p>
        </w:tc>
        <w:tc>
          <w:tcPr>
            <w:tcW w:w="6854" w:type="dxa"/>
            <w:gridSpan w:val="5"/>
            <w:tcBorders>
              <w:left w:val="nil"/>
              <w:right w:val="single" w:sz="4" w:space="0" w:color="auto"/>
            </w:tcBorders>
            <w:shd w:val="clear" w:color="auto" w:fill="D9D9D9"/>
            <w:vAlign w:val="center"/>
          </w:tcPr>
          <w:p w:rsidR="00FD1C94" w:rsidRPr="002829D6" w:rsidRDefault="0085088E" w:rsidP="002829D6">
            <w:pPr>
              <w:pStyle w:val="ListParagraph"/>
              <w:spacing w:before="60" w:after="60" w:line="240" w:lineRule="auto"/>
              <w:ind w:left="0"/>
              <w:contextualSpacing/>
              <w:rPr>
                <w:rFonts w:ascii="Arial" w:hAnsi="Arial" w:cs="Arial"/>
                <w:b/>
                <w:sz w:val="21"/>
                <w:szCs w:val="21"/>
              </w:rPr>
            </w:pPr>
            <w:r>
              <w:rPr>
                <w:rFonts w:ascii="Arial" w:hAnsi="Arial" w:cs="Arial"/>
                <w:b/>
                <w:sz w:val="21"/>
                <w:szCs w:val="21"/>
              </w:rPr>
              <w:t>WTWA</w:t>
            </w:r>
          </w:p>
        </w:tc>
      </w:tr>
      <w:tr w:rsidR="00FD1C94" w:rsidRPr="002829D6" w:rsidTr="002829D6">
        <w:tc>
          <w:tcPr>
            <w:tcW w:w="2442" w:type="dxa"/>
            <w:gridSpan w:val="3"/>
            <w:shd w:val="clear" w:color="auto" w:fill="auto"/>
            <w:vAlign w:val="center"/>
          </w:tcPr>
          <w:p w:rsidR="00FD1C94" w:rsidRPr="002829D6" w:rsidRDefault="00FD1C94"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417" w:type="dxa"/>
            <w:shd w:val="clear" w:color="auto" w:fill="auto"/>
            <w:vAlign w:val="center"/>
          </w:tcPr>
          <w:p w:rsidR="00FD1C94" w:rsidRPr="002829D6" w:rsidRDefault="00FD1C94"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carried over from last report</w:t>
            </w:r>
          </w:p>
        </w:tc>
        <w:tc>
          <w:tcPr>
            <w:tcW w:w="1559" w:type="dxa"/>
            <w:shd w:val="clear" w:color="auto" w:fill="auto"/>
            <w:vAlign w:val="center"/>
          </w:tcPr>
          <w:p w:rsidR="00FD1C94" w:rsidRPr="002829D6" w:rsidRDefault="00FD1C94"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raised</w:t>
            </w:r>
            <w:r w:rsidR="00C3387B">
              <w:rPr>
                <w:rFonts w:ascii="Arial" w:hAnsi="Arial" w:cs="Arial"/>
                <w:b/>
                <w:sz w:val="16"/>
                <w:szCs w:val="16"/>
              </w:rPr>
              <w:t xml:space="preserve"> in this quarter</w:t>
            </w:r>
          </w:p>
        </w:tc>
        <w:tc>
          <w:tcPr>
            <w:tcW w:w="1276" w:type="dxa"/>
            <w:shd w:val="clear" w:color="auto" w:fill="auto"/>
            <w:vAlign w:val="center"/>
          </w:tcPr>
          <w:p w:rsidR="00FD1C94" w:rsidRPr="002829D6" w:rsidRDefault="00FD1C94"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closed</w:t>
            </w:r>
          </w:p>
        </w:tc>
        <w:tc>
          <w:tcPr>
            <w:tcW w:w="1468" w:type="dxa"/>
            <w:shd w:val="clear" w:color="auto" w:fill="auto"/>
            <w:vAlign w:val="center"/>
          </w:tcPr>
          <w:p w:rsidR="00FD1C94" w:rsidRPr="002829D6" w:rsidRDefault="00FD1C94"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exceptions outstanding</w:t>
            </w:r>
          </w:p>
        </w:tc>
      </w:tr>
      <w:tr w:rsidR="00FD1C94" w:rsidRPr="002829D6" w:rsidTr="002829D6">
        <w:tc>
          <w:tcPr>
            <w:tcW w:w="2442" w:type="dxa"/>
            <w:gridSpan w:val="3"/>
            <w:shd w:val="clear" w:color="auto" w:fill="auto"/>
            <w:vAlign w:val="center"/>
          </w:tcPr>
          <w:p w:rsidR="00FD1C94" w:rsidRPr="002829D6" w:rsidRDefault="00BD4ECB"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Wythenshawe </w:t>
            </w:r>
            <w:r w:rsidR="00764EF2">
              <w:rPr>
                <w:rFonts w:ascii="Arial" w:hAnsi="Arial" w:cs="Arial"/>
                <w:sz w:val="16"/>
                <w:szCs w:val="16"/>
              </w:rPr>
              <w:t xml:space="preserve"> </w:t>
            </w:r>
            <w:r w:rsidR="00FD1C94" w:rsidRPr="002829D6">
              <w:rPr>
                <w:rFonts w:ascii="Arial" w:hAnsi="Arial" w:cs="Arial"/>
                <w:sz w:val="16"/>
                <w:szCs w:val="16"/>
              </w:rPr>
              <w:t>Gen</w:t>
            </w:r>
            <w:r w:rsidR="00764EF2">
              <w:rPr>
                <w:rFonts w:ascii="Arial" w:hAnsi="Arial" w:cs="Arial"/>
                <w:sz w:val="16"/>
                <w:szCs w:val="16"/>
              </w:rPr>
              <w:t xml:space="preserve">eral </w:t>
            </w:r>
            <w:r w:rsidR="00FD1C94" w:rsidRPr="002829D6">
              <w:rPr>
                <w:rFonts w:ascii="Arial" w:hAnsi="Arial" w:cs="Arial"/>
                <w:sz w:val="16"/>
                <w:szCs w:val="16"/>
              </w:rPr>
              <w:t xml:space="preserve"> Medicine</w:t>
            </w:r>
            <w:r w:rsidR="00764EF2">
              <w:rPr>
                <w:rFonts w:ascii="Arial" w:hAnsi="Arial" w:cs="Arial"/>
                <w:sz w:val="16"/>
                <w:szCs w:val="16"/>
              </w:rPr>
              <w:t>- FY1</w:t>
            </w:r>
          </w:p>
        </w:tc>
        <w:tc>
          <w:tcPr>
            <w:tcW w:w="1417"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59" w:type="dxa"/>
            <w:shd w:val="clear" w:color="auto" w:fill="auto"/>
            <w:vAlign w:val="center"/>
          </w:tcPr>
          <w:p w:rsidR="00FD1C94" w:rsidRPr="002829D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1276"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26</w:t>
            </w:r>
          </w:p>
        </w:tc>
        <w:tc>
          <w:tcPr>
            <w:tcW w:w="1468"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r>
      <w:tr w:rsidR="006518EF" w:rsidRPr="002829D6" w:rsidTr="002829D6">
        <w:tc>
          <w:tcPr>
            <w:tcW w:w="2442" w:type="dxa"/>
            <w:gridSpan w:val="3"/>
            <w:shd w:val="clear" w:color="auto" w:fill="auto"/>
            <w:vAlign w:val="center"/>
          </w:tcPr>
          <w:p w:rsidR="006518EF" w:rsidRDefault="006518EF"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Wythenshawe  </w:t>
            </w:r>
            <w:r w:rsidRPr="002829D6">
              <w:rPr>
                <w:rFonts w:ascii="Arial" w:hAnsi="Arial" w:cs="Arial"/>
                <w:sz w:val="16"/>
                <w:szCs w:val="16"/>
              </w:rPr>
              <w:t>Gen</w:t>
            </w:r>
            <w:r>
              <w:rPr>
                <w:rFonts w:ascii="Arial" w:hAnsi="Arial" w:cs="Arial"/>
                <w:sz w:val="16"/>
                <w:szCs w:val="16"/>
              </w:rPr>
              <w:t xml:space="preserve">eral </w:t>
            </w:r>
            <w:r w:rsidRPr="002829D6">
              <w:rPr>
                <w:rFonts w:ascii="Arial" w:hAnsi="Arial" w:cs="Arial"/>
                <w:sz w:val="16"/>
                <w:szCs w:val="16"/>
              </w:rPr>
              <w:t xml:space="preserve"> Medicine</w:t>
            </w:r>
            <w:r>
              <w:rPr>
                <w:rFonts w:ascii="Arial" w:hAnsi="Arial" w:cs="Arial"/>
                <w:sz w:val="16"/>
                <w:szCs w:val="16"/>
              </w:rPr>
              <w:t>- FY1 ((Gastroenterology)</w:t>
            </w:r>
          </w:p>
        </w:tc>
        <w:tc>
          <w:tcPr>
            <w:tcW w:w="1417" w:type="dxa"/>
            <w:shd w:val="clear" w:color="auto" w:fill="auto"/>
            <w:vAlign w:val="center"/>
          </w:tcPr>
          <w:p w:rsidR="006518EF"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6518EF"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15</w:t>
            </w:r>
          </w:p>
        </w:tc>
        <w:tc>
          <w:tcPr>
            <w:tcW w:w="1276" w:type="dxa"/>
            <w:shd w:val="clear" w:color="auto" w:fill="auto"/>
            <w:vAlign w:val="center"/>
          </w:tcPr>
          <w:p w:rsidR="006518EF"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11</w:t>
            </w:r>
          </w:p>
        </w:tc>
        <w:tc>
          <w:tcPr>
            <w:tcW w:w="1468" w:type="dxa"/>
            <w:shd w:val="clear" w:color="auto" w:fill="auto"/>
            <w:vAlign w:val="center"/>
          </w:tcPr>
          <w:p w:rsidR="006518EF"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r>
      <w:tr w:rsidR="006518EF" w:rsidRPr="002829D6" w:rsidTr="002829D6">
        <w:tc>
          <w:tcPr>
            <w:tcW w:w="2442" w:type="dxa"/>
            <w:gridSpan w:val="3"/>
            <w:shd w:val="clear" w:color="auto" w:fill="auto"/>
            <w:vAlign w:val="center"/>
          </w:tcPr>
          <w:p w:rsidR="006518EF" w:rsidRDefault="006518EF"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Wythenshawe  </w:t>
            </w:r>
            <w:r w:rsidRPr="002829D6">
              <w:rPr>
                <w:rFonts w:ascii="Arial" w:hAnsi="Arial" w:cs="Arial"/>
                <w:sz w:val="16"/>
                <w:szCs w:val="16"/>
              </w:rPr>
              <w:t>Gen</w:t>
            </w:r>
            <w:r>
              <w:rPr>
                <w:rFonts w:ascii="Arial" w:hAnsi="Arial" w:cs="Arial"/>
                <w:sz w:val="16"/>
                <w:szCs w:val="16"/>
              </w:rPr>
              <w:t xml:space="preserve">eral </w:t>
            </w:r>
            <w:r w:rsidRPr="002829D6">
              <w:rPr>
                <w:rFonts w:ascii="Arial" w:hAnsi="Arial" w:cs="Arial"/>
                <w:sz w:val="16"/>
                <w:szCs w:val="16"/>
              </w:rPr>
              <w:t xml:space="preserve"> Medicine</w:t>
            </w:r>
            <w:r>
              <w:rPr>
                <w:rFonts w:ascii="Arial" w:hAnsi="Arial" w:cs="Arial"/>
                <w:sz w:val="16"/>
                <w:szCs w:val="16"/>
              </w:rPr>
              <w:t xml:space="preserve"> Junior rota</w:t>
            </w:r>
          </w:p>
        </w:tc>
        <w:tc>
          <w:tcPr>
            <w:tcW w:w="1417" w:type="dxa"/>
            <w:shd w:val="clear" w:color="auto" w:fill="auto"/>
            <w:vAlign w:val="center"/>
          </w:tcPr>
          <w:p w:rsidR="006518EF"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59" w:type="dxa"/>
            <w:shd w:val="clear" w:color="auto" w:fill="auto"/>
            <w:vAlign w:val="center"/>
          </w:tcPr>
          <w:p w:rsidR="006518EF"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14</w:t>
            </w:r>
          </w:p>
        </w:tc>
        <w:tc>
          <w:tcPr>
            <w:tcW w:w="1276" w:type="dxa"/>
            <w:shd w:val="clear" w:color="auto" w:fill="auto"/>
            <w:vAlign w:val="center"/>
          </w:tcPr>
          <w:p w:rsidR="006518EF"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14</w:t>
            </w:r>
          </w:p>
        </w:tc>
        <w:tc>
          <w:tcPr>
            <w:tcW w:w="1468" w:type="dxa"/>
            <w:shd w:val="clear" w:color="auto" w:fill="auto"/>
            <w:vAlign w:val="center"/>
          </w:tcPr>
          <w:p w:rsidR="006518EF"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F254B3" w:rsidRPr="002829D6" w:rsidTr="002829D6">
        <w:tc>
          <w:tcPr>
            <w:tcW w:w="2442" w:type="dxa"/>
            <w:gridSpan w:val="3"/>
            <w:shd w:val="clear" w:color="auto" w:fill="auto"/>
            <w:vAlign w:val="center"/>
          </w:tcPr>
          <w:p w:rsidR="00F254B3" w:rsidRDefault="00F254B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Wythenshawe  </w:t>
            </w:r>
            <w:r w:rsidRPr="002829D6">
              <w:rPr>
                <w:rFonts w:ascii="Arial" w:hAnsi="Arial" w:cs="Arial"/>
                <w:sz w:val="16"/>
                <w:szCs w:val="16"/>
              </w:rPr>
              <w:t>Gen</w:t>
            </w:r>
            <w:r>
              <w:rPr>
                <w:rFonts w:ascii="Arial" w:hAnsi="Arial" w:cs="Arial"/>
                <w:sz w:val="16"/>
                <w:szCs w:val="16"/>
              </w:rPr>
              <w:t xml:space="preserve">eral </w:t>
            </w:r>
            <w:r w:rsidRPr="002829D6">
              <w:rPr>
                <w:rFonts w:ascii="Arial" w:hAnsi="Arial" w:cs="Arial"/>
                <w:sz w:val="16"/>
                <w:szCs w:val="16"/>
              </w:rPr>
              <w:t xml:space="preserve"> Medicine</w:t>
            </w:r>
            <w:r>
              <w:rPr>
                <w:rFonts w:ascii="Arial" w:hAnsi="Arial" w:cs="Arial"/>
                <w:sz w:val="16"/>
                <w:szCs w:val="16"/>
              </w:rPr>
              <w:t xml:space="preserve"> senior rota</w:t>
            </w:r>
          </w:p>
        </w:tc>
        <w:tc>
          <w:tcPr>
            <w:tcW w:w="1417" w:type="dxa"/>
            <w:shd w:val="clear" w:color="auto" w:fill="auto"/>
            <w:vAlign w:val="center"/>
          </w:tcPr>
          <w:p w:rsidR="00F254B3" w:rsidRDefault="00F254B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F254B3" w:rsidRDefault="00F254B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276" w:type="dxa"/>
            <w:shd w:val="clear" w:color="auto" w:fill="auto"/>
            <w:vAlign w:val="center"/>
          </w:tcPr>
          <w:p w:rsidR="00F254B3" w:rsidRDefault="00BA4155"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468" w:type="dxa"/>
            <w:shd w:val="clear" w:color="auto" w:fill="auto"/>
            <w:vAlign w:val="center"/>
          </w:tcPr>
          <w:p w:rsidR="00F254B3" w:rsidRDefault="00BA4155"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r>
      <w:tr w:rsidR="00FD1C94" w:rsidRPr="002829D6" w:rsidTr="002829D6">
        <w:tc>
          <w:tcPr>
            <w:tcW w:w="2442" w:type="dxa"/>
            <w:gridSpan w:val="3"/>
            <w:shd w:val="clear" w:color="auto" w:fill="auto"/>
            <w:vAlign w:val="center"/>
          </w:tcPr>
          <w:p w:rsidR="00FD1C94" w:rsidRPr="002829D6" w:rsidRDefault="00F254B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Wythenshawe  T &amp; O</w:t>
            </w:r>
          </w:p>
        </w:tc>
        <w:tc>
          <w:tcPr>
            <w:tcW w:w="1417" w:type="dxa"/>
            <w:shd w:val="clear" w:color="auto" w:fill="auto"/>
            <w:vAlign w:val="center"/>
          </w:tcPr>
          <w:p w:rsidR="00FD1C94" w:rsidRPr="002829D6" w:rsidRDefault="005E54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FD1C94" w:rsidRPr="002829D6" w:rsidRDefault="00F254B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276" w:type="dxa"/>
            <w:shd w:val="clear" w:color="auto" w:fill="auto"/>
            <w:vAlign w:val="center"/>
          </w:tcPr>
          <w:p w:rsidR="00FD1C94" w:rsidRPr="002829D6" w:rsidRDefault="00BA4155"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468" w:type="dxa"/>
            <w:shd w:val="clear" w:color="auto" w:fill="auto"/>
            <w:vAlign w:val="center"/>
          </w:tcPr>
          <w:p w:rsidR="00FD1C94" w:rsidRPr="002829D6" w:rsidRDefault="00BA4155"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F254B3" w:rsidRPr="002829D6" w:rsidTr="002829D6">
        <w:tc>
          <w:tcPr>
            <w:tcW w:w="2442" w:type="dxa"/>
            <w:gridSpan w:val="3"/>
            <w:shd w:val="clear" w:color="auto" w:fill="auto"/>
            <w:vAlign w:val="center"/>
          </w:tcPr>
          <w:p w:rsidR="00F254B3" w:rsidRDefault="00F254B3"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Wythenshawe Vascular surgery</w:t>
            </w:r>
          </w:p>
        </w:tc>
        <w:tc>
          <w:tcPr>
            <w:tcW w:w="1417" w:type="dxa"/>
            <w:shd w:val="clear" w:color="auto" w:fill="auto"/>
            <w:vAlign w:val="center"/>
          </w:tcPr>
          <w:p w:rsidR="00F254B3" w:rsidRDefault="00F254B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F254B3" w:rsidRDefault="00F254B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276" w:type="dxa"/>
            <w:shd w:val="clear" w:color="auto" w:fill="auto"/>
            <w:vAlign w:val="center"/>
          </w:tcPr>
          <w:p w:rsidR="00F254B3" w:rsidRDefault="00BA4155"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468" w:type="dxa"/>
            <w:shd w:val="clear" w:color="auto" w:fill="auto"/>
            <w:vAlign w:val="center"/>
          </w:tcPr>
          <w:p w:rsidR="00F254B3" w:rsidRDefault="00BA4155"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FD1C94" w:rsidRPr="002829D6" w:rsidTr="002829D6">
        <w:tc>
          <w:tcPr>
            <w:tcW w:w="2442" w:type="dxa"/>
            <w:gridSpan w:val="3"/>
            <w:shd w:val="clear" w:color="auto" w:fill="auto"/>
            <w:vAlign w:val="center"/>
          </w:tcPr>
          <w:p w:rsidR="00FD1C94" w:rsidRPr="002829D6" w:rsidRDefault="00BD4ECB" w:rsidP="006518EF">
            <w:pPr>
              <w:pStyle w:val="ListParagraph"/>
              <w:spacing w:before="60" w:after="60" w:line="240" w:lineRule="auto"/>
              <w:ind w:left="0"/>
              <w:contextualSpacing/>
              <w:rPr>
                <w:rFonts w:ascii="Arial" w:hAnsi="Arial" w:cs="Arial"/>
                <w:sz w:val="16"/>
                <w:szCs w:val="16"/>
              </w:rPr>
            </w:pPr>
            <w:r>
              <w:rPr>
                <w:rFonts w:ascii="Arial" w:hAnsi="Arial" w:cs="Arial"/>
                <w:sz w:val="16"/>
                <w:szCs w:val="16"/>
              </w:rPr>
              <w:t>Wythenshawe</w:t>
            </w:r>
            <w:r w:rsidR="006518EF">
              <w:rPr>
                <w:rFonts w:ascii="Arial" w:hAnsi="Arial" w:cs="Arial"/>
                <w:sz w:val="16"/>
                <w:szCs w:val="16"/>
              </w:rPr>
              <w:t xml:space="preserve"> A&amp;E middle</w:t>
            </w:r>
            <w:r>
              <w:rPr>
                <w:rFonts w:ascii="Arial" w:hAnsi="Arial" w:cs="Arial"/>
                <w:sz w:val="16"/>
                <w:szCs w:val="16"/>
              </w:rPr>
              <w:t xml:space="preserve"> </w:t>
            </w:r>
            <w:r w:rsidR="006518EF">
              <w:rPr>
                <w:rFonts w:ascii="Arial" w:hAnsi="Arial" w:cs="Arial"/>
                <w:sz w:val="16"/>
                <w:szCs w:val="16"/>
              </w:rPr>
              <w:t xml:space="preserve"> grade rota</w:t>
            </w:r>
          </w:p>
        </w:tc>
        <w:tc>
          <w:tcPr>
            <w:tcW w:w="1417" w:type="dxa"/>
            <w:shd w:val="clear" w:color="auto" w:fill="auto"/>
            <w:vAlign w:val="center"/>
          </w:tcPr>
          <w:p w:rsidR="00FD1C94" w:rsidRPr="002829D6" w:rsidRDefault="005E54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FD1C94" w:rsidRPr="002829D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276"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468"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518EF" w:rsidRPr="002829D6" w:rsidTr="002829D6">
        <w:tc>
          <w:tcPr>
            <w:tcW w:w="2442" w:type="dxa"/>
            <w:gridSpan w:val="3"/>
            <w:shd w:val="clear" w:color="auto" w:fill="auto"/>
            <w:vAlign w:val="center"/>
          </w:tcPr>
          <w:p w:rsidR="006518EF" w:rsidRDefault="006518EF" w:rsidP="006518EF">
            <w:pPr>
              <w:pStyle w:val="ListParagraph"/>
              <w:spacing w:before="60" w:after="60" w:line="240" w:lineRule="auto"/>
              <w:ind w:left="0"/>
              <w:contextualSpacing/>
              <w:rPr>
                <w:rFonts w:ascii="Arial" w:hAnsi="Arial" w:cs="Arial"/>
                <w:sz w:val="16"/>
                <w:szCs w:val="16"/>
              </w:rPr>
            </w:pPr>
            <w:r>
              <w:rPr>
                <w:rFonts w:ascii="Arial" w:hAnsi="Arial" w:cs="Arial"/>
                <w:sz w:val="16"/>
                <w:szCs w:val="16"/>
              </w:rPr>
              <w:t>Wythenshawe A&amp;E – ST3+</w:t>
            </w:r>
          </w:p>
        </w:tc>
        <w:tc>
          <w:tcPr>
            <w:tcW w:w="1417" w:type="dxa"/>
            <w:shd w:val="clear" w:color="auto" w:fill="auto"/>
            <w:vAlign w:val="center"/>
          </w:tcPr>
          <w:p w:rsidR="006518EF"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6518EF"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276" w:type="dxa"/>
            <w:shd w:val="clear" w:color="auto" w:fill="auto"/>
            <w:vAlign w:val="center"/>
          </w:tcPr>
          <w:p w:rsidR="006518EF" w:rsidRDefault="00BA4155"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468" w:type="dxa"/>
            <w:shd w:val="clear" w:color="auto" w:fill="auto"/>
            <w:vAlign w:val="center"/>
          </w:tcPr>
          <w:p w:rsidR="006518EF" w:rsidRDefault="00BA4155"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FD1C94" w:rsidRPr="002829D6" w:rsidTr="002829D6">
        <w:tc>
          <w:tcPr>
            <w:tcW w:w="2442" w:type="dxa"/>
            <w:gridSpan w:val="3"/>
            <w:shd w:val="clear" w:color="auto" w:fill="auto"/>
            <w:vAlign w:val="center"/>
          </w:tcPr>
          <w:p w:rsidR="00FD1C94" w:rsidRPr="002829D6" w:rsidRDefault="00BD4ECB"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Wythenshawe  Respiratory Medicine Junior</w:t>
            </w:r>
          </w:p>
        </w:tc>
        <w:tc>
          <w:tcPr>
            <w:tcW w:w="1417" w:type="dxa"/>
            <w:shd w:val="clear" w:color="auto" w:fill="auto"/>
            <w:vAlign w:val="center"/>
          </w:tcPr>
          <w:p w:rsidR="00FD1C94" w:rsidRPr="002829D6"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559" w:type="dxa"/>
            <w:shd w:val="clear" w:color="auto" w:fill="auto"/>
            <w:vAlign w:val="center"/>
          </w:tcPr>
          <w:p w:rsidR="00FD1C94" w:rsidRPr="002829D6" w:rsidRDefault="003A480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1276" w:type="dxa"/>
            <w:shd w:val="clear" w:color="auto" w:fill="auto"/>
            <w:vAlign w:val="center"/>
          </w:tcPr>
          <w:p w:rsidR="00FD1C94" w:rsidRPr="002829D6" w:rsidRDefault="003A4803"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1468" w:type="dxa"/>
            <w:shd w:val="clear" w:color="auto" w:fill="auto"/>
            <w:vAlign w:val="center"/>
          </w:tcPr>
          <w:p w:rsidR="00FD1C94" w:rsidRPr="002829D6" w:rsidRDefault="00F75F0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5E5466" w:rsidRPr="002829D6" w:rsidTr="002829D6">
        <w:tc>
          <w:tcPr>
            <w:tcW w:w="2442" w:type="dxa"/>
            <w:gridSpan w:val="3"/>
            <w:shd w:val="clear" w:color="auto" w:fill="auto"/>
            <w:vAlign w:val="center"/>
          </w:tcPr>
          <w:p w:rsidR="005E5466" w:rsidRDefault="006518EF"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Trafford – Psychiatry, Gen Medicine FY1</w:t>
            </w:r>
          </w:p>
        </w:tc>
        <w:tc>
          <w:tcPr>
            <w:tcW w:w="1417" w:type="dxa"/>
            <w:shd w:val="clear" w:color="auto" w:fill="auto"/>
            <w:vAlign w:val="center"/>
          </w:tcPr>
          <w:p w:rsidR="005E5466" w:rsidRPr="002829D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5E546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w:t>
            </w:r>
          </w:p>
        </w:tc>
        <w:tc>
          <w:tcPr>
            <w:tcW w:w="1276" w:type="dxa"/>
            <w:shd w:val="clear" w:color="auto" w:fill="auto"/>
            <w:vAlign w:val="center"/>
          </w:tcPr>
          <w:p w:rsidR="005E546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w:t>
            </w:r>
          </w:p>
        </w:tc>
        <w:tc>
          <w:tcPr>
            <w:tcW w:w="1468" w:type="dxa"/>
            <w:shd w:val="clear" w:color="auto" w:fill="auto"/>
            <w:vAlign w:val="center"/>
          </w:tcPr>
          <w:p w:rsidR="005E546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5E5466" w:rsidRPr="002829D6" w:rsidTr="002829D6">
        <w:tc>
          <w:tcPr>
            <w:tcW w:w="2442" w:type="dxa"/>
            <w:gridSpan w:val="3"/>
            <w:shd w:val="clear" w:color="auto" w:fill="auto"/>
            <w:vAlign w:val="center"/>
          </w:tcPr>
          <w:p w:rsidR="005E5466" w:rsidRDefault="006518EF"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Wythenshawe  Cardiology and Respiratory</w:t>
            </w:r>
          </w:p>
        </w:tc>
        <w:tc>
          <w:tcPr>
            <w:tcW w:w="1417" w:type="dxa"/>
            <w:shd w:val="clear" w:color="auto" w:fill="auto"/>
            <w:vAlign w:val="center"/>
          </w:tcPr>
          <w:p w:rsidR="005E5466" w:rsidRPr="002829D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1559" w:type="dxa"/>
            <w:shd w:val="clear" w:color="auto" w:fill="auto"/>
            <w:vAlign w:val="center"/>
          </w:tcPr>
          <w:p w:rsidR="005E546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276" w:type="dxa"/>
            <w:shd w:val="clear" w:color="auto" w:fill="auto"/>
            <w:vAlign w:val="center"/>
          </w:tcPr>
          <w:p w:rsidR="005E546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1468" w:type="dxa"/>
            <w:shd w:val="clear" w:color="auto" w:fill="auto"/>
            <w:vAlign w:val="center"/>
          </w:tcPr>
          <w:p w:rsidR="005E5466" w:rsidRDefault="006518E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FD1C94" w:rsidRPr="002829D6" w:rsidTr="002829D6">
        <w:tc>
          <w:tcPr>
            <w:tcW w:w="2442" w:type="dxa"/>
            <w:gridSpan w:val="3"/>
            <w:shd w:val="clear" w:color="auto" w:fill="auto"/>
            <w:vAlign w:val="center"/>
          </w:tcPr>
          <w:p w:rsidR="00FD1C94" w:rsidRPr="002829D6" w:rsidRDefault="00FD1C94"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1417"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3</w:t>
            </w:r>
          </w:p>
        </w:tc>
        <w:tc>
          <w:tcPr>
            <w:tcW w:w="1559" w:type="dxa"/>
            <w:shd w:val="clear" w:color="auto" w:fill="auto"/>
            <w:vAlign w:val="center"/>
          </w:tcPr>
          <w:p w:rsidR="00FD1C94" w:rsidRPr="002829D6" w:rsidRDefault="00F254B3"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84</w:t>
            </w:r>
          </w:p>
        </w:tc>
        <w:tc>
          <w:tcPr>
            <w:tcW w:w="1276"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67</w:t>
            </w:r>
          </w:p>
        </w:tc>
        <w:tc>
          <w:tcPr>
            <w:tcW w:w="1468"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20</w:t>
            </w:r>
          </w:p>
        </w:tc>
      </w:tr>
    </w:tbl>
    <w:p w:rsidR="00FD1C94" w:rsidRDefault="00FD1C94" w:rsidP="00B51597">
      <w:pPr>
        <w:pStyle w:val="ListParagraph"/>
        <w:ind w:left="360"/>
        <w:contextualSpacing/>
        <w:jc w:val="both"/>
        <w:rPr>
          <w:rFonts w:ascii="Arial" w:hAnsi="Arial" w:cs="Arial"/>
          <w:sz w:val="21"/>
          <w:szCs w:val="21"/>
        </w:rPr>
      </w:pPr>
    </w:p>
    <w:p w:rsidR="00AC7BC5" w:rsidRDefault="00AC7BC5" w:rsidP="00B51597">
      <w:pPr>
        <w:pStyle w:val="ListParagraph"/>
        <w:ind w:left="360"/>
        <w:contextualSpacing/>
        <w:jc w:val="both"/>
        <w:rPr>
          <w:rFonts w:ascii="Arial" w:hAnsi="Arial" w:cs="Arial"/>
          <w:sz w:val="21"/>
          <w:szCs w:val="21"/>
        </w:rPr>
      </w:pPr>
    </w:p>
    <w:p w:rsidR="00527422" w:rsidRDefault="00527422" w:rsidP="00B51597">
      <w:pPr>
        <w:pStyle w:val="ListParagraph"/>
        <w:ind w:left="360"/>
        <w:contextualSpacing/>
        <w:jc w:val="both"/>
        <w:rPr>
          <w:rFonts w:ascii="Arial" w:hAnsi="Arial" w:cs="Arial"/>
          <w:sz w:val="21"/>
          <w:szCs w:val="21"/>
        </w:rPr>
      </w:pPr>
    </w:p>
    <w:p w:rsidR="00527422" w:rsidRDefault="00527422" w:rsidP="00B51597">
      <w:pPr>
        <w:pStyle w:val="ListParagraph"/>
        <w:ind w:left="360"/>
        <w:contextualSpacing/>
        <w:jc w:val="both"/>
        <w:rPr>
          <w:rFonts w:ascii="Arial" w:hAnsi="Arial" w:cs="Arial"/>
          <w:sz w:val="21"/>
          <w:szCs w:val="21"/>
        </w:rPr>
      </w:pPr>
    </w:p>
    <w:p w:rsidR="00527422" w:rsidRDefault="00527422" w:rsidP="00B51597">
      <w:pPr>
        <w:pStyle w:val="ListParagraph"/>
        <w:ind w:left="360"/>
        <w:contextualSpacing/>
        <w:jc w:val="both"/>
        <w:rPr>
          <w:rFonts w:ascii="Arial" w:hAnsi="Arial" w:cs="Arial"/>
          <w:sz w:val="21"/>
          <w:szCs w:val="21"/>
        </w:rPr>
      </w:pPr>
    </w:p>
    <w:p w:rsidR="00527422" w:rsidRDefault="00527422" w:rsidP="00B51597">
      <w:pPr>
        <w:pStyle w:val="ListParagraph"/>
        <w:ind w:left="360"/>
        <w:contextualSpacing/>
        <w:jc w:val="both"/>
        <w:rPr>
          <w:rFonts w:ascii="Arial" w:hAnsi="Arial" w:cs="Arial"/>
          <w:sz w:val="21"/>
          <w:szCs w:val="21"/>
        </w:rPr>
      </w:pPr>
    </w:p>
    <w:p w:rsidR="00AC7BC5" w:rsidRDefault="00AC7BC5" w:rsidP="00B51597">
      <w:pPr>
        <w:pStyle w:val="ListParagraph"/>
        <w:ind w:left="360"/>
        <w:contextualSpacing/>
        <w:jc w:val="both"/>
        <w:rPr>
          <w:rFonts w:ascii="Arial" w:hAnsi="Arial" w:cs="Arial"/>
          <w:sz w:val="21"/>
          <w:szCs w:val="21"/>
        </w:rPr>
      </w:pPr>
    </w:p>
    <w:p w:rsidR="00AC7BC5" w:rsidRDefault="00AC7BC5" w:rsidP="007012DE">
      <w:pPr>
        <w:pStyle w:val="ListParagraph"/>
        <w:ind w:left="0"/>
        <w:contextualSpacing/>
        <w:jc w:val="both"/>
        <w:rPr>
          <w:rFonts w:ascii="Arial" w:hAnsi="Arial" w:cs="Arial"/>
          <w:sz w:val="21"/>
          <w:szCs w:val="21"/>
        </w:rPr>
      </w:pPr>
    </w:p>
    <w:p w:rsidR="00AC7BC5" w:rsidRDefault="00AC7BC5" w:rsidP="00B51597">
      <w:pPr>
        <w:pStyle w:val="ListParagraph"/>
        <w:ind w:left="36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260"/>
        <w:gridCol w:w="1559"/>
        <w:gridCol w:w="2744"/>
      </w:tblGrid>
      <w:tr w:rsidR="00FD1C94" w:rsidRPr="002829D6" w:rsidTr="002829D6">
        <w:tc>
          <w:tcPr>
            <w:tcW w:w="599" w:type="dxa"/>
            <w:tcBorders>
              <w:right w:val="nil"/>
            </w:tcBorders>
            <w:shd w:val="clear" w:color="auto" w:fill="BFBFBF"/>
          </w:tcPr>
          <w:p w:rsidR="00FD1C94" w:rsidRPr="002829D6" w:rsidRDefault="00FD1C94"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lastRenderedPageBreak/>
              <w:t>3.4</w:t>
            </w:r>
          </w:p>
        </w:tc>
        <w:tc>
          <w:tcPr>
            <w:tcW w:w="7563" w:type="dxa"/>
            <w:gridSpan w:val="3"/>
            <w:tcBorders>
              <w:left w:val="nil"/>
            </w:tcBorders>
            <w:shd w:val="clear" w:color="auto" w:fill="BFBFBF"/>
            <w:vAlign w:val="center"/>
          </w:tcPr>
          <w:p w:rsidR="00FD1C94" w:rsidRPr="002829D6" w:rsidRDefault="00FD1C94"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Exception reports by outcomes</w:t>
            </w:r>
          </w:p>
        </w:tc>
      </w:tr>
      <w:tr w:rsidR="00FD1C94" w:rsidRPr="002829D6" w:rsidTr="002829D6">
        <w:tc>
          <w:tcPr>
            <w:tcW w:w="3859" w:type="dxa"/>
            <w:gridSpan w:val="2"/>
            <w:shd w:val="clear" w:color="auto" w:fill="auto"/>
            <w:vAlign w:val="center"/>
          </w:tcPr>
          <w:p w:rsidR="00FD1C94" w:rsidRPr="002829D6" w:rsidRDefault="00FD1C94"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Outcomes</w:t>
            </w:r>
          </w:p>
        </w:tc>
        <w:tc>
          <w:tcPr>
            <w:tcW w:w="1559" w:type="dxa"/>
            <w:shd w:val="clear" w:color="auto" w:fill="auto"/>
            <w:vAlign w:val="center"/>
          </w:tcPr>
          <w:p w:rsidR="00FD1C94" w:rsidRPr="002829D6" w:rsidRDefault="00FD1C94"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w:t>
            </w:r>
          </w:p>
        </w:tc>
        <w:tc>
          <w:tcPr>
            <w:tcW w:w="2744" w:type="dxa"/>
            <w:shd w:val="clear" w:color="auto" w:fill="auto"/>
            <w:vAlign w:val="center"/>
          </w:tcPr>
          <w:p w:rsidR="00FD1C94" w:rsidRPr="002829D6" w:rsidRDefault="00FD1C94"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w:t>
            </w:r>
          </w:p>
        </w:tc>
      </w:tr>
      <w:tr w:rsidR="00FD1C94" w:rsidRPr="002829D6" w:rsidTr="002829D6">
        <w:tc>
          <w:tcPr>
            <w:tcW w:w="3859" w:type="dxa"/>
            <w:gridSpan w:val="2"/>
            <w:shd w:val="clear" w:color="auto" w:fill="auto"/>
            <w:vAlign w:val="center"/>
          </w:tcPr>
          <w:p w:rsidR="00FD1C94" w:rsidRPr="002829D6" w:rsidRDefault="00D41866" w:rsidP="002829D6">
            <w:pPr>
              <w:pStyle w:val="ListParagraph"/>
              <w:spacing w:before="60" w:after="60" w:line="240" w:lineRule="auto"/>
              <w:ind w:left="0"/>
              <w:contextualSpacing/>
              <w:jc w:val="both"/>
              <w:rPr>
                <w:rFonts w:ascii="Arial" w:hAnsi="Arial" w:cs="Arial"/>
                <w:sz w:val="16"/>
                <w:szCs w:val="16"/>
              </w:rPr>
            </w:pPr>
            <w:r w:rsidRPr="002829D6">
              <w:rPr>
                <w:rFonts w:ascii="Arial" w:hAnsi="Arial" w:cs="Arial"/>
                <w:sz w:val="16"/>
                <w:szCs w:val="16"/>
              </w:rPr>
              <w:t>Payment made</w:t>
            </w:r>
          </w:p>
        </w:tc>
        <w:tc>
          <w:tcPr>
            <w:tcW w:w="1559"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105</w:t>
            </w:r>
          </w:p>
        </w:tc>
        <w:tc>
          <w:tcPr>
            <w:tcW w:w="2744"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52</w:t>
            </w:r>
            <w:r w:rsidR="00E340F7">
              <w:rPr>
                <w:rFonts w:ascii="Arial" w:hAnsi="Arial" w:cs="Arial"/>
                <w:sz w:val="16"/>
                <w:szCs w:val="16"/>
              </w:rPr>
              <w:t>%</w:t>
            </w:r>
          </w:p>
        </w:tc>
      </w:tr>
      <w:tr w:rsidR="00FD1C94" w:rsidRPr="002829D6" w:rsidTr="002829D6">
        <w:tc>
          <w:tcPr>
            <w:tcW w:w="3859" w:type="dxa"/>
            <w:gridSpan w:val="2"/>
            <w:shd w:val="clear" w:color="auto" w:fill="auto"/>
            <w:vAlign w:val="center"/>
          </w:tcPr>
          <w:p w:rsidR="00FD1C94" w:rsidRPr="002829D6" w:rsidRDefault="00D41866"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Time in Lieu</w:t>
            </w:r>
          </w:p>
        </w:tc>
        <w:tc>
          <w:tcPr>
            <w:tcW w:w="1559"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27</w:t>
            </w:r>
          </w:p>
        </w:tc>
        <w:tc>
          <w:tcPr>
            <w:tcW w:w="2744" w:type="dxa"/>
            <w:shd w:val="clear" w:color="auto" w:fill="auto"/>
            <w:vAlign w:val="center"/>
          </w:tcPr>
          <w:p w:rsidR="00FD1C94"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13</w:t>
            </w:r>
            <w:r w:rsidR="00D41177">
              <w:rPr>
                <w:rFonts w:ascii="Arial" w:hAnsi="Arial" w:cs="Arial"/>
                <w:sz w:val="16"/>
                <w:szCs w:val="16"/>
              </w:rPr>
              <w:t>%</w:t>
            </w:r>
          </w:p>
        </w:tc>
      </w:tr>
      <w:tr w:rsidR="00FF793E" w:rsidRPr="002829D6" w:rsidTr="002829D6">
        <w:tc>
          <w:tcPr>
            <w:tcW w:w="3859" w:type="dxa"/>
            <w:gridSpan w:val="2"/>
            <w:shd w:val="clear" w:color="auto" w:fill="auto"/>
            <w:vAlign w:val="center"/>
          </w:tcPr>
          <w:p w:rsidR="00FF793E" w:rsidRPr="002829D6" w:rsidRDefault="00FF793E"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No Further action</w:t>
            </w:r>
          </w:p>
        </w:tc>
        <w:tc>
          <w:tcPr>
            <w:tcW w:w="1559" w:type="dxa"/>
            <w:shd w:val="clear" w:color="auto" w:fill="auto"/>
            <w:vAlign w:val="center"/>
          </w:tcPr>
          <w:p w:rsidR="00FF793E"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32</w:t>
            </w:r>
          </w:p>
        </w:tc>
        <w:tc>
          <w:tcPr>
            <w:tcW w:w="2744" w:type="dxa"/>
            <w:shd w:val="clear" w:color="auto" w:fill="auto"/>
            <w:vAlign w:val="center"/>
          </w:tcPr>
          <w:p w:rsidR="00FF793E"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16</w:t>
            </w:r>
            <w:r w:rsidR="00D6128C">
              <w:rPr>
                <w:rFonts w:ascii="Arial" w:hAnsi="Arial" w:cs="Arial"/>
                <w:sz w:val="16"/>
                <w:szCs w:val="16"/>
              </w:rPr>
              <w:t>%</w:t>
            </w:r>
          </w:p>
        </w:tc>
      </w:tr>
      <w:tr w:rsidR="00FD1C94" w:rsidRPr="002829D6" w:rsidTr="002829D6">
        <w:tc>
          <w:tcPr>
            <w:tcW w:w="3859" w:type="dxa"/>
            <w:gridSpan w:val="2"/>
            <w:shd w:val="clear" w:color="auto" w:fill="auto"/>
            <w:vAlign w:val="center"/>
          </w:tcPr>
          <w:p w:rsidR="00FD1C94" w:rsidRPr="002829D6" w:rsidRDefault="00FF793E"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Request further information</w:t>
            </w:r>
          </w:p>
        </w:tc>
        <w:tc>
          <w:tcPr>
            <w:tcW w:w="1559" w:type="dxa"/>
            <w:shd w:val="clear" w:color="auto" w:fill="auto"/>
            <w:vAlign w:val="center"/>
          </w:tcPr>
          <w:p w:rsidR="00FD1C94" w:rsidRPr="002829D6" w:rsidRDefault="00FF793E"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2744" w:type="dxa"/>
            <w:shd w:val="clear" w:color="auto" w:fill="auto"/>
            <w:vAlign w:val="center"/>
          </w:tcPr>
          <w:p w:rsidR="00FD1C94" w:rsidRPr="002829D6" w:rsidRDefault="00D41CE7"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r>
      <w:tr w:rsidR="00FF793E" w:rsidRPr="002829D6" w:rsidTr="002829D6">
        <w:tc>
          <w:tcPr>
            <w:tcW w:w="3859" w:type="dxa"/>
            <w:gridSpan w:val="2"/>
            <w:shd w:val="clear" w:color="auto" w:fill="auto"/>
            <w:vAlign w:val="center"/>
          </w:tcPr>
          <w:p w:rsidR="00FF793E" w:rsidRPr="002829D6" w:rsidRDefault="00FF793E"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Awaiting review </w:t>
            </w:r>
          </w:p>
        </w:tc>
        <w:tc>
          <w:tcPr>
            <w:tcW w:w="1559" w:type="dxa"/>
            <w:shd w:val="clear" w:color="auto" w:fill="auto"/>
            <w:vAlign w:val="center"/>
          </w:tcPr>
          <w:p w:rsidR="00FF793E"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28</w:t>
            </w:r>
          </w:p>
        </w:tc>
        <w:tc>
          <w:tcPr>
            <w:tcW w:w="2744" w:type="dxa"/>
            <w:shd w:val="clear" w:color="auto" w:fill="auto"/>
            <w:vAlign w:val="center"/>
          </w:tcPr>
          <w:p w:rsidR="00FF793E" w:rsidRPr="002829D6" w:rsidRDefault="005976D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14</w:t>
            </w:r>
            <w:r w:rsidR="005A4B23">
              <w:rPr>
                <w:rFonts w:ascii="Arial" w:hAnsi="Arial" w:cs="Arial"/>
                <w:sz w:val="16"/>
                <w:szCs w:val="16"/>
              </w:rPr>
              <w:t>%</w:t>
            </w:r>
          </w:p>
        </w:tc>
      </w:tr>
      <w:tr w:rsidR="00FD1C94" w:rsidRPr="002829D6" w:rsidTr="002829D6">
        <w:tc>
          <w:tcPr>
            <w:tcW w:w="3859" w:type="dxa"/>
            <w:gridSpan w:val="2"/>
            <w:shd w:val="clear" w:color="auto" w:fill="auto"/>
            <w:vAlign w:val="center"/>
          </w:tcPr>
          <w:p w:rsidR="00FD1C94" w:rsidRPr="002829D6" w:rsidRDefault="00D41866" w:rsidP="00BD4ECB">
            <w:pPr>
              <w:pStyle w:val="ListParagraph"/>
              <w:spacing w:before="60" w:after="60" w:line="240" w:lineRule="auto"/>
              <w:ind w:left="0"/>
              <w:contextualSpacing/>
              <w:jc w:val="right"/>
              <w:rPr>
                <w:rFonts w:ascii="Arial" w:hAnsi="Arial" w:cs="Arial"/>
                <w:b/>
                <w:sz w:val="16"/>
                <w:szCs w:val="16"/>
              </w:rPr>
            </w:pPr>
            <w:r w:rsidRPr="002829D6">
              <w:rPr>
                <w:rFonts w:ascii="Arial" w:hAnsi="Arial" w:cs="Arial"/>
                <w:b/>
                <w:sz w:val="16"/>
                <w:szCs w:val="16"/>
              </w:rPr>
              <w:t>Total</w:t>
            </w:r>
          </w:p>
        </w:tc>
        <w:tc>
          <w:tcPr>
            <w:tcW w:w="1559" w:type="dxa"/>
            <w:shd w:val="clear" w:color="auto" w:fill="auto"/>
            <w:vAlign w:val="center"/>
          </w:tcPr>
          <w:p w:rsidR="00FD1C94" w:rsidRPr="002829D6" w:rsidRDefault="00FF793E" w:rsidP="00BD4ECB">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202</w:t>
            </w:r>
          </w:p>
        </w:tc>
        <w:tc>
          <w:tcPr>
            <w:tcW w:w="2744" w:type="dxa"/>
            <w:shd w:val="clear" w:color="auto" w:fill="auto"/>
            <w:vAlign w:val="center"/>
          </w:tcPr>
          <w:p w:rsidR="00FD1C94" w:rsidRPr="002829D6" w:rsidRDefault="00FF793E"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100%</w:t>
            </w:r>
          </w:p>
        </w:tc>
      </w:tr>
    </w:tbl>
    <w:p w:rsidR="00FD1C94" w:rsidRDefault="00FD1C94" w:rsidP="00B51597">
      <w:pPr>
        <w:pStyle w:val="ListParagraph"/>
        <w:ind w:left="360"/>
        <w:contextualSpacing/>
        <w:jc w:val="both"/>
        <w:rPr>
          <w:rFonts w:ascii="Arial" w:hAnsi="Arial" w:cs="Arial"/>
          <w:sz w:val="21"/>
          <w:szCs w:val="21"/>
        </w:rPr>
      </w:pPr>
    </w:p>
    <w:p w:rsidR="00953B7D" w:rsidRDefault="00953B7D" w:rsidP="00B51597">
      <w:pPr>
        <w:pStyle w:val="ListParagraph"/>
        <w:ind w:left="360"/>
        <w:contextualSpacing/>
        <w:jc w:val="both"/>
        <w:rPr>
          <w:rFonts w:ascii="Arial" w:hAnsi="Arial" w:cs="Arial"/>
          <w:sz w:val="21"/>
          <w:szCs w:val="21"/>
        </w:rPr>
      </w:pPr>
    </w:p>
    <w:p w:rsidR="00AC7BC5" w:rsidRDefault="00953B7D" w:rsidP="00CE0326">
      <w:pPr>
        <w:pStyle w:val="ListParagraph"/>
        <w:ind w:left="360"/>
        <w:contextualSpacing/>
        <w:rPr>
          <w:rFonts w:ascii="Arial" w:hAnsi="Arial" w:cs="Arial"/>
          <w:sz w:val="21"/>
          <w:szCs w:val="21"/>
        </w:rPr>
      </w:pPr>
      <w:r>
        <w:rPr>
          <w:rFonts w:ascii="Arial" w:hAnsi="Arial" w:cs="Arial"/>
          <w:noProof/>
          <w:sz w:val="21"/>
          <w:szCs w:val="21"/>
          <w:lang w:eastAsia="en-GB"/>
        </w:rPr>
        <w:drawing>
          <wp:inline distT="0" distB="0" distL="0" distR="0" wp14:anchorId="5C7B3903" wp14:editId="7E47164E">
            <wp:extent cx="4786685" cy="2910177"/>
            <wp:effectExtent l="0" t="0" r="1397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1866" w:rsidRPr="00CE0326" w:rsidRDefault="00D41866" w:rsidP="00CE0326">
      <w:pPr>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126"/>
        <w:gridCol w:w="2693"/>
        <w:gridCol w:w="2744"/>
      </w:tblGrid>
      <w:tr w:rsidR="00D41866" w:rsidRPr="002829D6" w:rsidTr="002829D6">
        <w:tc>
          <w:tcPr>
            <w:tcW w:w="599" w:type="dxa"/>
            <w:tcBorders>
              <w:right w:val="nil"/>
            </w:tcBorders>
            <w:shd w:val="clear" w:color="auto" w:fill="BFBFBF"/>
          </w:tcPr>
          <w:p w:rsidR="00D41866" w:rsidRPr="002829D6" w:rsidRDefault="00D41866"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t>3.5</w:t>
            </w:r>
          </w:p>
        </w:tc>
        <w:tc>
          <w:tcPr>
            <w:tcW w:w="7563" w:type="dxa"/>
            <w:gridSpan w:val="3"/>
            <w:tcBorders>
              <w:left w:val="nil"/>
            </w:tcBorders>
            <w:shd w:val="clear" w:color="auto" w:fill="BFBFBF"/>
            <w:vAlign w:val="center"/>
          </w:tcPr>
          <w:p w:rsidR="00D41866" w:rsidRPr="002829D6" w:rsidRDefault="00D41866"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Exception reports by type</w:t>
            </w:r>
          </w:p>
        </w:tc>
      </w:tr>
      <w:tr w:rsidR="00D41866" w:rsidRPr="002829D6" w:rsidTr="002829D6">
        <w:tc>
          <w:tcPr>
            <w:tcW w:w="2725" w:type="dxa"/>
            <w:gridSpan w:val="2"/>
            <w:shd w:val="clear" w:color="auto" w:fill="auto"/>
            <w:vAlign w:val="center"/>
          </w:tcPr>
          <w:p w:rsidR="00D41866" w:rsidRPr="002829D6" w:rsidRDefault="00D41866"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Type</w:t>
            </w:r>
          </w:p>
        </w:tc>
        <w:tc>
          <w:tcPr>
            <w:tcW w:w="2693" w:type="dxa"/>
            <w:shd w:val="clear" w:color="auto" w:fill="auto"/>
            <w:vAlign w:val="center"/>
          </w:tcPr>
          <w:p w:rsidR="00D41866" w:rsidRPr="002829D6" w:rsidRDefault="00D41866"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exceptions report raised</w:t>
            </w:r>
          </w:p>
        </w:tc>
        <w:tc>
          <w:tcPr>
            <w:tcW w:w="2744" w:type="dxa"/>
            <w:shd w:val="clear" w:color="auto" w:fill="auto"/>
            <w:vAlign w:val="center"/>
          </w:tcPr>
          <w:p w:rsidR="00D41866" w:rsidRPr="002829D6" w:rsidRDefault="00D41866"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w:t>
            </w:r>
          </w:p>
        </w:tc>
      </w:tr>
      <w:tr w:rsidR="00D41866" w:rsidRPr="002829D6" w:rsidTr="002829D6">
        <w:tc>
          <w:tcPr>
            <w:tcW w:w="2725" w:type="dxa"/>
            <w:gridSpan w:val="2"/>
            <w:shd w:val="clear" w:color="auto" w:fill="auto"/>
            <w:vAlign w:val="center"/>
          </w:tcPr>
          <w:p w:rsidR="00D41866" w:rsidRPr="002829D6" w:rsidRDefault="00D41866" w:rsidP="002829D6">
            <w:pPr>
              <w:pStyle w:val="ListParagraph"/>
              <w:spacing w:before="60" w:after="60" w:line="240" w:lineRule="auto"/>
              <w:ind w:left="0"/>
              <w:contextualSpacing/>
              <w:jc w:val="both"/>
              <w:rPr>
                <w:rFonts w:ascii="Arial" w:hAnsi="Arial" w:cs="Arial"/>
                <w:sz w:val="16"/>
                <w:szCs w:val="16"/>
              </w:rPr>
            </w:pPr>
            <w:r w:rsidRPr="002829D6">
              <w:rPr>
                <w:rFonts w:ascii="Arial" w:hAnsi="Arial" w:cs="Arial"/>
                <w:sz w:val="16"/>
                <w:szCs w:val="16"/>
              </w:rPr>
              <w:t>Educational</w:t>
            </w:r>
          </w:p>
        </w:tc>
        <w:tc>
          <w:tcPr>
            <w:tcW w:w="2693" w:type="dxa"/>
            <w:shd w:val="clear" w:color="auto" w:fill="auto"/>
            <w:vAlign w:val="center"/>
          </w:tcPr>
          <w:p w:rsidR="00D41866" w:rsidRPr="002829D6" w:rsidRDefault="00B63462"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w:t>
            </w:r>
          </w:p>
        </w:tc>
        <w:tc>
          <w:tcPr>
            <w:tcW w:w="2744" w:type="dxa"/>
            <w:shd w:val="clear" w:color="auto" w:fill="auto"/>
            <w:vAlign w:val="center"/>
          </w:tcPr>
          <w:p w:rsidR="00D41866" w:rsidRPr="002829D6"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r>
      <w:tr w:rsidR="00D41866" w:rsidRPr="002829D6" w:rsidTr="002829D6">
        <w:tc>
          <w:tcPr>
            <w:tcW w:w="2725" w:type="dxa"/>
            <w:gridSpan w:val="2"/>
            <w:shd w:val="clear" w:color="auto" w:fill="auto"/>
            <w:vAlign w:val="center"/>
          </w:tcPr>
          <w:p w:rsidR="00A90781" w:rsidRPr="002829D6" w:rsidRDefault="006B6766"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Additional hours</w:t>
            </w:r>
          </w:p>
        </w:tc>
        <w:tc>
          <w:tcPr>
            <w:tcW w:w="2693" w:type="dxa"/>
            <w:shd w:val="clear" w:color="auto" w:fill="auto"/>
            <w:vAlign w:val="center"/>
          </w:tcPr>
          <w:p w:rsidR="00A90781" w:rsidRPr="002829D6" w:rsidRDefault="006B6766" w:rsidP="006B676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180</w:t>
            </w:r>
          </w:p>
        </w:tc>
        <w:tc>
          <w:tcPr>
            <w:tcW w:w="2744" w:type="dxa"/>
            <w:shd w:val="clear" w:color="auto" w:fill="auto"/>
            <w:vAlign w:val="center"/>
          </w:tcPr>
          <w:p w:rsidR="00D41866" w:rsidRPr="002829D6"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89%</w:t>
            </w:r>
          </w:p>
        </w:tc>
      </w:tr>
      <w:tr w:rsidR="00B63462" w:rsidRPr="002829D6" w:rsidTr="002829D6">
        <w:tc>
          <w:tcPr>
            <w:tcW w:w="2725" w:type="dxa"/>
            <w:gridSpan w:val="2"/>
            <w:shd w:val="clear" w:color="auto" w:fill="auto"/>
            <w:vAlign w:val="center"/>
          </w:tcPr>
          <w:p w:rsidR="00B63462" w:rsidRDefault="006B6766"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Unable to take breaks</w:t>
            </w:r>
          </w:p>
        </w:tc>
        <w:tc>
          <w:tcPr>
            <w:tcW w:w="2693" w:type="dxa"/>
            <w:shd w:val="clear" w:color="auto" w:fill="auto"/>
            <w:vAlign w:val="center"/>
          </w:tcPr>
          <w:p w:rsidR="00B63462"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13</w:t>
            </w:r>
          </w:p>
        </w:tc>
        <w:tc>
          <w:tcPr>
            <w:tcW w:w="2744" w:type="dxa"/>
            <w:shd w:val="clear" w:color="auto" w:fill="auto"/>
            <w:vAlign w:val="center"/>
          </w:tcPr>
          <w:p w:rsidR="00B63462" w:rsidRPr="002829D6"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w:t>
            </w:r>
          </w:p>
        </w:tc>
      </w:tr>
      <w:tr w:rsidR="00D41866" w:rsidRPr="002829D6" w:rsidTr="002829D6">
        <w:tc>
          <w:tcPr>
            <w:tcW w:w="2725" w:type="dxa"/>
            <w:gridSpan w:val="2"/>
            <w:shd w:val="clear" w:color="auto" w:fill="auto"/>
            <w:vAlign w:val="center"/>
          </w:tcPr>
          <w:p w:rsidR="00D41866" w:rsidRPr="002829D6" w:rsidRDefault="00D41866"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2693" w:type="dxa"/>
            <w:shd w:val="clear" w:color="auto" w:fill="auto"/>
            <w:vAlign w:val="center"/>
          </w:tcPr>
          <w:p w:rsidR="00FE0E9D" w:rsidRPr="002829D6" w:rsidRDefault="006B6766" w:rsidP="00FE0E9D">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202</w:t>
            </w:r>
          </w:p>
        </w:tc>
        <w:tc>
          <w:tcPr>
            <w:tcW w:w="2744" w:type="dxa"/>
            <w:shd w:val="clear" w:color="auto" w:fill="auto"/>
            <w:vAlign w:val="center"/>
          </w:tcPr>
          <w:p w:rsidR="00D41866" w:rsidRPr="002829D6" w:rsidRDefault="006B6766"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100%</w:t>
            </w:r>
          </w:p>
        </w:tc>
      </w:tr>
    </w:tbl>
    <w:p w:rsidR="00CE0326" w:rsidRDefault="00CE0326" w:rsidP="00CE0326">
      <w:pPr>
        <w:contextualSpacing/>
        <w:jc w:val="center"/>
        <w:rPr>
          <w:rFonts w:ascii="Arial" w:hAnsi="Arial" w:cs="Arial"/>
          <w:sz w:val="21"/>
          <w:szCs w:val="21"/>
        </w:rPr>
      </w:pPr>
    </w:p>
    <w:p w:rsidR="00D41866" w:rsidRPr="00CE0326" w:rsidRDefault="00CE0326" w:rsidP="00CE0326">
      <w:pPr>
        <w:contextualSpacing/>
        <w:jc w:val="center"/>
        <w:rPr>
          <w:rFonts w:ascii="Arial" w:hAnsi="Arial" w:cs="Arial"/>
          <w:sz w:val="21"/>
          <w:szCs w:val="21"/>
        </w:rPr>
      </w:pPr>
      <w:r>
        <w:rPr>
          <w:rFonts w:ascii="Arial" w:hAnsi="Arial" w:cs="Arial"/>
          <w:noProof/>
          <w:sz w:val="21"/>
          <w:szCs w:val="21"/>
          <w:lang w:eastAsia="en-GB"/>
        </w:rPr>
        <w:drawing>
          <wp:inline distT="0" distB="0" distL="0" distR="0" wp14:anchorId="1AFEDE96" wp14:editId="3EADD804">
            <wp:extent cx="4680000" cy="2679590"/>
            <wp:effectExtent l="0" t="0" r="25400" b="260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819"/>
        <w:gridCol w:w="2744"/>
      </w:tblGrid>
      <w:tr w:rsidR="00D41866" w:rsidRPr="007012DE" w:rsidTr="002829D6">
        <w:tc>
          <w:tcPr>
            <w:tcW w:w="599" w:type="dxa"/>
            <w:tcBorders>
              <w:bottom w:val="single" w:sz="4" w:space="0" w:color="auto"/>
              <w:right w:val="nil"/>
            </w:tcBorders>
            <w:shd w:val="clear" w:color="auto" w:fill="BFBFBF"/>
          </w:tcPr>
          <w:p w:rsidR="00D41866" w:rsidRPr="001C4518" w:rsidRDefault="00D41866" w:rsidP="002829D6">
            <w:pPr>
              <w:pStyle w:val="ListParagraph"/>
              <w:spacing w:before="60" w:after="60" w:line="240" w:lineRule="auto"/>
              <w:ind w:left="0"/>
              <w:contextualSpacing/>
              <w:jc w:val="both"/>
              <w:rPr>
                <w:rFonts w:ascii="Arial" w:hAnsi="Arial" w:cs="Arial"/>
                <w:b/>
                <w:sz w:val="21"/>
                <w:szCs w:val="21"/>
              </w:rPr>
            </w:pPr>
            <w:r w:rsidRPr="001C4518">
              <w:rPr>
                <w:rFonts w:ascii="Arial" w:hAnsi="Arial" w:cs="Arial"/>
                <w:b/>
                <w:sz w:val="21"/>
                <w:szCs w:val="21"/>
              </w:rPr>
              <w:lastRenderedPageBreak/>
              <w:t>3.6</w:t>
            </w:r>
          </w:p>
        </w:tc>
        <w:tc>
          <w:tcPr>
            <w:tcW w:w="7563" w:type="dxa"/>
            <w:gridSpan w:val="2"/>
            <w:tcBorders>
              <w:left w:val="nil"/>
              <w:bottom w:val="single" w:sz="4" w:space="0" w:color="auto"/>
            </w:tcBorders>
            <w:shd w:val="clear" w:color="auto" w:fill="BFBFBF"/>
            <w:vAlign w:val="center"/>
          </w:tcPr>
          <w:p w:rsidR="00D41866" w:rsidRPr="001C4518" w:rsidRDefault="00D41866" w:rsidP="002829D6">
            <w:pPr>
              <w:pStyle w:val="ListParagraph"/>
              <w:spacing w:before="60" w:after="60" w:line="240" w:lineRule="auto"/>
              <w:ind w:left="0"/>
              <w:contextualSpacing/>
              <w:rPr>
                <w:rFonts w:ascii="Arial" w:hAnsi="Arial" w:cs="Arial"/>
                <w:b/>
                <w:sz w:val="21"/>
                <w:szCs w:val="21"/>
              </w:rPr>
            </w:pPr>
            <w:r w:rsidRPr="001C4518">
              <w:rPr>
                <w:rFonts w:ascii="Arial" w:hAnsi="Arial" w:cs="Arial"/>
                <w:b/>
                <w:sz w:val="21"/>
                <w:szCs w:val="21"/>
              </w:rPr>
              <w:t>Reasons for exception reports</w:t>
            </w:r>
          </w:p>
        </w:tc>
      </w:tr>
      <w:tr w:rsidR="006A3843" w:rsidRPr="002829D6" w:rsidTr="002829D6">
        <w:tc>
          <w:tcPr>
            <w:tcW w:w="8162" w:type="dxa"/>
            <w:gridSpan w:val="3"/>
            <w:tcBorders>
              <w:left w:val="nil"/>
              <w:right w:val="nil"/>
            </w:tcBorders>
            <w:shd w:val="clear" w:color="auto" w:fill="auto"/>
            <w:vAlign w:val="center"/>
          </w:tcPr>
          <w:p w:rsidR="006A3843" w:rsidRPr="002829D6" w:rsidRDefault="006A3843"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The main reasons identified for submission of exception reports were:</w:t>
            </w:r>
          </w:p>
        </w:tc>
      </w:tr>
      <w:tr w:rsidR="00D41866" w:rsidRPr="002829D6" w:rsidTr="002829D6">
        <w:tc>
          <w:tcPr>
            <w:tcW w:w="5418" w:type="dxa"/>
            <w:gridSpan w:val="2"/>
            <w:shd w:val="clear" w:color="auto" w:fill="auto"/>
            <w:vAlign w:val="center"/>
          </w:tcPr>
          <w:p w:rsidR="00D41866" w:rsidRPr="002829D6" w:rsidRDefault="00D41866"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Reasons</w:t>
            </w:r>
          </w:p>
        </w:tc>
        <w:tc>
          <w:tcPr>
            <w:tcW w:w="2744" w:type="dxa"/>
            <w:shd w:val="clear" w:color="auto" w:fill="auto"/>
            <w:vAlign w:val="center"/>
          </w:tcPr>
          <w:p w:rsidR="00D41866" w:rsidRPr="002829D6" w:rsidRDefault="00D41866"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w:t>
            </w:r>
          </w:p>
        </w:tc>
      </w:tr>
      <w:tr w:rsidR="00D41866" w:rsidRPr="002829D6" w:rsidTr="002829D6">
        <w:tc>
          <w:tcPr>
            <w:tcW w:w="5418" w:type="dxa"/>
            <w:gridSpan w:val="2"/>
            <w:shd w:val="clear" w:color="auto" w:fill="auto"/>
            <w:vAlign w:val="center"/>
          </w:tcPr>
          <w:p w:rsidR="00D41866" w:rsidRPr="002829D6" w:rsidRDefault="00D41866"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High workload</w:t>
            </w:r>
          </w:p>
        </w:tc>
        <w:tc>
          <w:tcPr>
            <w:tcW w:w="2744" w:type="dxa"/>
            <w:shd w:val="clear" w:color="auto" w:fill="auto"/>
            <w:vAlign w:val="center"/>
          </w:tcPr>
          <w:p w:rsidR="00D41866" w:rsidRPr="002829D6"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119</w:t>
            </w:r>
          </w:p>
        </w:tc>
      </w:tr>
      <w:tr w:rsidR="00D41866" w:rsidRPr="002829D6" w:rsidTr="002829D6">
        <w:tc>
          <w:tcPr>
            <w:tcW w:w="5418" w:type="dxa"/>
            <w:gridSpan w:val="2"/>
            <w:shd w:val="clear" w:color="auto" w:fill="auto"/>
            <w:vAlign w:val="center"/>
          </w:tcPr>
          <w:p w:rsidR="00D41866" w:rsidRPr="002829D6" w:rsidRDefault="00D41866"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Low staffing levels</w:t>
            </w:r>
          </w:p>
        </w:tc>
        <w:tc>
          <w:tcPr>
            <w:tcW w:w="2744" w:type="dxa"/>
            <w:shd w:val="clear" w:color="auto" w:fill="auto"/>
            <w:vAlign w:val="center"/>
          </w:tcPr>
          <w:p w:rsidR="00D41866" w:rsidRPr="002829D6"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51</w:t>
            </w:r>
          </w:p>
        </w:tc>
      </w:tr>
      <w:tr w:rsidR="00D41866" w:rsidRPr="002829D6" w:rsidTr="002829D6">
        <w:tc>
          <w:tcPr>
            <w:tcW w:w="5418" w:type="dxa"/>
            <w:gridSpan w:val="2"/>
            <w:shd w:val="clear" w:color="auto" w:fill="auto"/>
            <w:vAlign w:val="center"/>
          </w:tcPr>
          <w:p w:rsidR="00D41866" w:rsidRPr="002829D6" w:rsidRDefault="00D41866"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Clinical reasons</w:t>
            </w:r>
          </w:p>
        </w:tc>
        <w:tc>
          <w:tcPr>
            <w:tcW w:w="2744" w:type="dxa"/>
            <w:shd w:val="clear" w:color="auto" w:fill="auto"/>
            <w:vAlign w:val="center"/>
          </w:tcPr>
          <w:p w:rsidR="00D41866" w:rsidRPr="002829D6"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22</w:t>
            </w:r>
          </w:p>
        </w:tc>
      </w:tr>
      <w:tr w:rsidR="00D41866" w:rsidRPr="002829D6" w:rsidTr="002829D6">
        <w:tc>
          <w:tcPr>
            <w:tcW w:w="5418" w:type="dxa"/>
            <w:gridSpan w:val="2"/>
            <w:shd w:val="clear" w:color="auto" w:fill="auto"/>
            <w:vAlign w:val="center"/>
          </w:tcPr>
          <w:p w:rsidR="00D41866" w:rsidRPr="002829D6" w:rsidRDefault="00D41866"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Late starting/finishing ward rounds</w:t>
            </w:r>
          </w:p>
        </w:tc>
        <w:tc>
          <w:tcPr>
            <w:tcW w:w="2744" w:type="dxa"/>
            <w:shd w:val="clear" w:color="auto" w:fill="auto"/>
            <w:vAlign w:val="center"/>
          </w:tcPr>
          <w:p w:rsidR="00D41866" w:rsidRPr="002829D6" w:rsidRDefault="006B676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r>
      <w:tr w:rsidR="00D41866" w:rsidRPr="002829D6" w:rsidTr="002829D6">
        <w:tc>
          <w:tcPr>
            <w:tcW w:w="5418" w:type="dxa"/>
            <w:gridSpan w:val="2"/>
            <w:shd w:val="clear" w:color="auto" w:fill="auto"/>
            <w:vAlign w:val="center"/>
          </w:tcPr>
          <w:p w:rsidR="00D41866" w:rsidRPr="002829D6" w:rsidRDefault="00D41866"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2744" w:type="dxa"/>
            <w:shd w:val="clear" w:color="auto" w:fill="auto"/>
            <w:vAlign w:val="center"/>
          </w:tcPr>
          <w:p w:rsidR="00D41866" w:rsidRPr="005D0D79" w:rsidRDefault="006B6766"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202</w:t>
            </w:r>
          </w:p>
        </w:tc>
      </w:tr>
    </w:tbl>
    <w:p w:rsidR="009B61AB" w:rsidRDefault="009B61AB" w:rsidP="00B51597">
      <w:pPr>
        <w:pStyle w:val="ListParagraph"/>
        <w:ind w:left="360"/>
        <w:contextualSpacing/>
        <w:jc w:val="both"/>
        <w:rPr>
          <w:noProof/>
          <w:lang w:eastAsia="en-GB"/>
        </w:rPr>
      </w:pPr>
    </w:p>
    <w:p w:rsidR="00CE0326" w:rsidRDefault="00CE0326" w:rsidP="00B51597">
      <w:pPr>
        <w:pStyle w:val="ListParagraph"/>
        <w:ind w:left="360"/>
        <w:contextualSpacing/>
        <w:jc w:val="both"/>
        <w:rPr>
          <w:noProof/>
          <w:lang w:eastAsia="en-GB"/>
        </w:rPr>
      </w:pPr>
    </w:p>
    <w:p w:rsidR="00CE0326" w:rsidRDefault="00CE0326" w:rsidP="002C246E">
      <w:pPr>
        <w:pStyle w:val="ListParagraph"/>
        <w:ind w:left="360"/>
        <w:contextualSpacing/>
        <w:rPr>
          <w:noProof/>
          <w:lang w:eastAsia="en-GB"/>
        </w:rPr>
      </w:pPr>
      <w:r>
        <w:rPr>
          <w:noProof/>
          <w:lang w:eastAsia="en-GB"/>
        </w:rPr>
        <w:drawing>
          <wp:inline distT="0" distB="0" distL="0" distR="0">
            <wp:extent cx="5274310" cy="3076575"/>
            <wp:effectExtent l="38100" t="0" r="2159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246E" w:rsidRDefault="002C246E" w:rsidP="00B51597">
      <w:pPr>
        <w:pStyle w:val="ListParagraph"/>
        <w:ind w:left="360"/>
        <w:contextualSpacing/>
        <w:jc w:val="both"/>
        <w:rPr>
          <w:rFonts w:ascii="Arial" w:hAnsi="Arial" w:cs="Arial"/>
          <w:sz w:val="21"/>
          <w:szCs w:val="21"/>
        </w:rPr>
      </w:pPr>
    </w:p>
    <w:p w:rsidR="00D41866" w:rsidRDefault="00D41866" w:rsidP="006A3843">
      <w:pPr>
        <w:pStyle w:val="ListParagraph"/>
        <w:ind w:left="360"/>
        <w:contextualSpacing/>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563"/>
      </w:tblGrid>
      <w:tr w:rsidR="006A3843" w:rsidRPr="002829D6" w:rsidTr="002829D6">
        <w:tc>
          <w:tcPr>
            <w:tcW w:w="599" w:type="dxa"/>
            <w:tcBorders>
              <w:bottom w:val="single" w:sz="4" w:space="0" w:color="auto"/>
              <w:right w:val="nil"/>
            </w:tcBorders>
            <w:shd w:val="clear" w:color="auto" w:fill="BFBFBF"/>
          </w:tcPr>
          <w:p w:rsidR="006A3843" w:rsidRPr="002829D6" w:rsidRDefault="006A3843"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t>3.7</w:t>
            </w:r>
          </w:p>
        </w:tc>
        <w:tc>
          <w:tcPr>
            <w:tcW w:w="7563" w:type="dxa"/>
            <w:tcBorders>
              <w:left w:val="nil"/>
              <w:bottom w:val="single" w:sz="4" w:space="0" w:color="auto"/>
            </w:tcBorders>
            <w:shd w:val="clear" w:color="auto" w:fill="BFBFBF"/>
            <w:vAlign w:val="center"/>
          </w:tcPr>
          <w:p w:rsidR="006A3843" w:rsidRPr="002829D6" w:rsidRDefault="006B6766" w:rsidP="002829D6">
            <w:pPr>
              <w:pStyle w:val="ListParagraph"/>
              <w:spacing w:before="60" w:after="60" w:line="240" w:lineRule="auto"/>
              <w:ind w:left="0"/>
              <w:contextualSpacing/>
              <w:rPr>
                <w:rFonts w:ascii="Arial" w:hAnsi="Arial" w:cs="Arial"/>
                <w:b/>
                <w:sz w:val="21"/>
                <w:szCs w:val="21"/>
              </w:rPr>
            </w:pPr>
            <w:r>
              <w:rPr>
                <w:rFonts w:ascii="Arial" w:hAnsi="Arial" w:cs="Arial"/>
                <w:b/>
                <w:sz w:val="21"/>
                <w:szCs w:val="21"/>
              </w:rPr>
              <w:t>Breaches that attract a financial penalty</w:t>
            </w:r>
          </w:p>
        </w:tc>
      </w:tr>
    </w:tbl>
    <w:p w:rsidR="00FD31E0" w:rsidRDefault="00FD31E0" w:rsidP="00B51597">
      <w:pPr>
        <w:pStyle w:val="ListParagraph"/>
        <w:ind w:left="360"/>
        <w:contextualSpacing/>
        <w:jc w:val="both"/>
        <w:rPr>
          <w:rFonts w:ascii="Arial" w:hAnsi="Arial" w:cs="Arial"/>
          <w:sz w:val="21"/>
          <w:szCs w:val="21"/>
        </w:rPr>
      </w:pPr>
    </w:p>
    <w:p w:rsidR="006A3843" w:rsidRPr="006A3843" w:rsidRDefault="006A3843" w:rsidP="00A75E06">
      <w:pPr>
        <w:pStyle w:val="ListParagraph"/>
        <w:ind w:left="360"/>
        <w:contextualSpacing/>
        <w:jc w:val="both"/>
        <w:rPr>
          <w:rFonts w:ascii="Arial" w:hAnsi="Arial" w:cs="Arial"/>
          <w:sz w:val="21"/>
          <w:szCs w:val="21"/>
        </w:rPr>
      </w:pPr>
      <w:r w:rsidRPr="006A3843">
        <w:rPr>
          <w:rFonts w:ascii="Arial" w:hAnsi="Arial" w:cs="Arial"/>
          <w:sz w:val="21"/>
          <w:szCs w:val="21"/>
        </w:rPr>
        <w:t>Fines are levied when working hours breach one or mo</w:t>
      </w:r>
      <w:r w:rsidR="00A75E06">
        <w:rPr>
          <w:rFonts w:ascii="Arial" w:hAnsi="Arial" w:cs="Arial"/>
          <w:sz w:val="21"/>
          <w:szCs w:val="21"/>
        </w:rPr>
        <w:t>re of the following situations:</w:t>
      </w:r>
    </w:p>
    <w:p w:rsidR="006A3843" w:rsidRPr="006A3843" w:rsidRDefault="003D0347" w:rsidP="006A3843">
      <w:pPr>
        <w:pStyle w:val="ListParagraph"/>
        <w:numPr>
          <w:ilvl w:val="0"/>
          <w:numId w:val="5"/>
        </w:numPr>
        <w:contextualSpacing/>
        <w:jc w:val="both"/>
        <w:rPr>
          <w:rFonts w:ascii="Arial" w:hAnsi="Arial" w:cs="Arial"/>
          <w:sz w:val="21"/>
          <w:szCs w:val="21"/>
        </w:rPr>
      </w:pPr>
      <w:r>
        <w:rPr>
          <w:rFonts w:ascii="Arial" w:hAnsi="Arial" w:cs="Arial"/>
          <w:sz w:val="21"/>
          <w:szCs w:val="21"/>
        </w:rPr>
        <w:t>T</w:t>
      </w:r>
      <w:r w:rsidR="006A3843" w:rsidRPr="006A3843">
        <w:rPr>
          <w:rFonts w:ascii="Arial" w:hAnsi="Arial" w:cs="Arial"/>
          <w:sz w:val="21"/>
          <w:szCs w:val="21"/>
        </w:rPr>
        <w:t>he 48 hour average working week</w:t>
      </w:r>
    </w:p>
    <w:p w:rsidR="006A3843" w:rsidRPr="006A3843" w:rsidRDefault="003D0347" w:rsidP="006A3843">
      <w:pPr>
        <w:pStyle w:val="ListParagraph"/>
        <w:numPr>
          <w:ilvl w:val="0"/>
          <w:numId w:val="5"/>
        </w:numPr>
        <w:contextualSpacing/>
        <w:jc w:val="both"/>
        <w:rPr>
          <w:rFonts w:ascii="Arial" w:hAnsi="Arial" w:cs="Arial"/>
          <w:sz w:val="21"/>
          <w:szCs w:val="21"/>
        </w:rPr>
      </w:pPr>
      <w:r>
        <w:rPr>
          <w:rFonts w:ascii="Arial" w:hAnsi="Arial" w:cs="Arial"/>
          <w:sz w:val="21"/>
          <w:szCs w:val="21"/>
        </w:rPr>
        <w:t>M</w:t>
      </w:r>
      <w:r w:rsidR="006A3843" w:rsidRPr="006A3843">
        <w:rPr>
          <w:rFonts w:ascii="Arial" w:hAnsi="Arial" w:cs="Arial"/>
          <w:sz w:val="21"/>
          <w:szCs w:val="21"/>
        </w:rPr>
        <w:t>ore than 72 hours worked within any consecutive 7 days</w:t>
      </w:r>
    </w:p>
    <w:p w:rsidR="006A3843" w:rsidRDefault="003D0347" w:rsidP="006A3843">
      <w:pPr>
        <w:pStyle w:val="ListParagraph"/>
        <w:numPr>
          <w:ilvl w:val="0"/>
          <w:numId w:val="5"/>
        </w:numPr>
        <w:contextualSpacing/>
        <w:jc w:val="both"/>
        <w:rPr>
          <w:rFonts w:ascii="Arial" w:hAnsi="Arial" w:cs="Arial"/>
          <w:sz w:val="21"/>
          <w:szCs w:val="21"/>
        </w:rPr>
      </w:pPr>
      <w:r>
        <w:rPr>
          <w:rFonts w:ascii="Arial" w:hAnsi="Arial" w:cs="Arial"/>
          <w:sz w:val="21"/>
          <w:szCs w:val="21"/>
        </w:rPr>
        <w:t>W</w:t>
      </w:r>
      <w:r w:rsidR="006A3843" w:rsidRPr="006A3843">
        <w:rPr>
          <w:rFonts w:ascii="Arial" w:hAnsi="Arial" w:cs="Arial"/>
          <w:sz w:val="21"/>
          <w:szCs w:val="21"/>
        </w:rPr>
        <w:t>here meal breaks are missed on more than 25% of occasions</w:t>
      </w:r>
      <w:r w:rsidR="006B6766">
        <w:rPr>
          <w:rFonts w:ascii="Arial" w:hAnsi="Arial" w:cs="Arial"/>
          <w:sz w:val="21"/>
          <w:szCs w:val="21"/>
        </w:rPr>
        <w:t>.</w:t>
      </w:r>
    </w:p>
    <w:p w:rsidR="006B6766" w:rsidRDefault="003D0347" w:rsidP="006A3843">
      <w:pPr>
        <w:pStyle w:val="ListParagraph"/>
        <w:numPr>
          <w:ilvl w:val="0"/>
          <w:numId w:val="5"/>
        </w:numPr>
        <w:contextualSpacing/>
        <w:jc w:val="both"/>
        <w:rPr>
          <w:rFonts w:ascii="Arial" w:hAnsi="Arial" w:cs="Arial"/>
          <w:sz w:val="21"/>
          <w:szCs w:val="21"/>
        </w:rPr>
      </w:pPr>
      <w:r>
        <w:rPr>
          <w:rFonts w:ascii="Arial" w:hAnsi="Arial" w:cs="Arial"/>
          <w:sz w:val="21"/>
          <w:szCs w:val="21"/>
        </w:rPr>
        <w:t>T</w:t>
      </w:r>
      <w:r w:rsidR="00C645F3">
        <w:rPr>
          <w:rFonts w:ascii="Arial" w:hAnsi="Arial" w:cs="Arial"/>
          <w:sz w:val="21"/>
          <w:szCs w:val="21"/>
        </w:rPr>
        <w:t>he m</w:t>
      </w:r>
      <w:r w:rsidR="006B6766">
        <w:rPr>
          <w:rFonts w:ascii="Arial" w:hAnsi="Arial" w:cs="Arial"/>
          <w:sz w:val="21"/>
          <w:szCs w:val="21"/>
        </w:rPr>
        <w:t xml:space="preserve">inimum </w:t>
      </w:r>
      <w:r w:rsidR="00C645F3">
        <w:rPr>
          <w:rFonts w:ascii="Arial" w:hAnsi="Arial" w:cs="Arial"/>
          <w:sz w:val="21"/>
          <w:szCs w:val="21"/>
        </w:rPr>
        <w:t>non-residential on call overnight continuous rest of 5 hours between 22.00 – 07.00 hours.</w:t>
      </w:r>
    </w:p>
    <w:p w:rsidR="00C645F3" w:rsidRDefault="00C645F3" w:rsidP="006A3843">
      <w:pPr>
        <w:pStyle w:val="ListParagraph"/>
        <w:numPr>
          <w:ilvl w:val="0"/>
          <w:numId w:val="5"/>
        </w:numPr>
        <w:contextualSpacing/>
        <w:jc w:val="both"/>
        <w:rPr>
          <w:rFonts w:ascii="Arial" w:hAnsi="Arial" w:cs="Arial"/>
          <w:sz w:val="21"/>
          <w:szCs w:val="21"/>
        </w:rPr>
      </w:pPr>
      <w:r>
        <w:rPr>
          <w:rFonts w:ascii="Arial" w:hAnsi="Arial" w:cs="Arial"/>
          <w:sz w:val="21"/>
          <w:szCs w:val="21"/>
        </w:rPr>
        <w:t>The minimum 8 hours total rest per 24 hour n</w:t>
      </w:r>
      <w:r w:rsidR="0009641A">
        <w:rPr>
          <w:rFonts w:ascii="Arial" w:hAnsi="Arial" w:cs="Arial"/>
          <w:sz w:val="21"/>
          <w:szCs w:val="21"/>
        </w:rPr>
        <w:t>on-</w:t>
      </w:r>
      <w:r>
        <w:rPr>
          <w:rFonts w:ascii="Arial" w:hAnsi="Arial" w:cs="Arial"/>
          <w:sz w:val="21"/>
          <w:szCs w:val="21"/>
        </w:rPr>
        <w:t>resident on call shift</w:t>
      </w:r>
    </w:p>
    <w:p w:rsidR="00C645F3" w:rsidRDefault="00C645F3" w:rsidP="006A3843">
      <w:pPr>
        <w:pStyle w:val="ListParagraph"/>
        <w:numPr>
          <w:ilvl w:val="0"/>
          <w:numId w:val="5"/>
        </w:numPr>
        <w:contextualSpacing/>
        <w:jc w:val="both"/>
        <w:rPr>
          <w:rFonts w:ascii="Arial" w:hAnsi="Arial" w:cs="Arial"/>
          <w:sz w:val="21"/>
          <w:szCs w:val="21"/>
        </w:rPr>
      </w:pPr>
      <w:r>
        <w:rPr>
          <w:rFonts w:ascii="Arial" w:hAnsi="Arial" w:cs="Arial"/>
          <w:sz w:val="21"/>
          <w:szCs w:val="21"/>
        </w:rPr>
        <w:t>The maximum 13 hours shift length</w:t>
      </w:r>
    </w:p>
    <w:p w:rsidR="0009641A" w:rsidRDefault="0009641A" w:rsidP="006A3843">
      <w:pPr>
        <w:pStyle w:val="ListParagraph"/>
        <w:numPr>
          <w:ilvl w:val="0"/>
          <w:numId w:val="5"/>
        </w:numPr>
        <w:contextualSpacing/>
        <w:jc w:val="both"/>
        <w:rPr>
          <w:rFonts w:ascii="Arial" w:hAnsi="Arial" w:cs="Arial"/>
          <w:sz w:val="21"/>
          <w:szCs w:val="21"/>
        </w:rPr>
      </w:pPr>
      <w:r>
        <w:rPr>
          <w:rFonts w:ascii="Arial" w:hAnsi="Arial" w:cs="Arial"/>
          <w:sz w:val="21"/>
          <w:szCs w:val="21"/>
        </w:rPr>
        <w:t>The minimum 11 hours rest between resident shifts</w:t>
      </w:r>
    </w:p>
    <w:p w:rsidR="006A3843" w:rsidRDefault="006A3843" w:rsidP="00FE50B9">
      <w:pPr>
        <w:pStyle w:val="ListParagraph"/>
        <w:ind w:left="0"/>
        <w:contextualSpacing/>
        <w:jc w:val="both"/>
        <w:rPr>
          <w:rFonts w:ascii="Arial" w:hAnsi="Arial" w:cs="Arial"/>
          <w:sz w:val="21"/>
          <w:szCs w:val="21"/>
        </w:rPr>
      </w:pPr>
    </w:p>
    <w:p w:rsidR="00D264EC" w:rsidRDefault="007E7F61" w:rsidP="00FE50B9">
      <w:pPr>
        <w:pStyle w:val="ListParagraph"/>
        <w:ind w:left="0"/>
        <w:contextualSpacing/>
        <w:jc w:val="both"/>
        <w:rPr>
          <w:rFonts w:ascii="Arial" w:hAnsi="Arial" w:cs="Arial"/>
          <w:sz w:val="21"/>
          <w:szCs w:val="21"/>
        </w:rPr>
      </w:pPr>
      <w:r>
        <w:rPr>
          <w:rFonts w:ascii="Arial" w:hAnsi="Arial" w:cs="Arial"/>
          <w:sz w:val="21"/>
          <w:szCs w:val="21"/>
        </w:rPr>
        <w:t>A proportion of the fine</w:t>
      </w:r>
      <w:r w:rsidR="00B350C4">
        <w:rPr>
          <w:rFonts w:ascii="Arial" w:hAnsi="Arial" w:cs="Arial"/>
          <w:sz w:val="21"/>
          <w:szCs w:val="21"/>
        </w:rPr>
        <w:t>, (with the exception of fines for breaks where payment is 100%),</w:t>
      </w:r>
      <w:r>
        <w:rPr>
          <w:rFonts w:ascii="Arial" w:hAnsi="Arial" w:cs="Arial"/>
          <w:sz w:val="21"/>
          <w:szCs w:val="21"/>
        </w:rPr>
        <w:t xml:space="preserve"> is paid to the GoSW as specified in the</w:t>
      </w:r>
      <w:r w:rsidR="00B350C4">
        <w:rPr>
          <w:rFonts w:ascii="Arial" w:hAnsi="Arial" w:cs="Arial"/>
          <w:sz w:val="21"/>
          <w:szCs w:val="21"/>
        </w:rPr>
        <w:t xml:space="preserve"> 2016</w:t>
      </w:r>
      <w:r>
        <w:rPr>
          <w:rFonts w:ascii="Arial" w:hAnsi="Arial" w:cs="Arial"/>
          <w:sz w:val="21"/>
          <w:szCs w:val="21"/>
        </w:rPr>
        <w:t xml:space="preserve"> Terms &amp; conditions of service (TCS)</w:t>
      </w:r>
      <w:r w:rsidR="00B350C4">
        <w:rPr>
          <w:rFonts w:ascii="Arial" w:hAnsi="Arial" w:cs="Arial"/>
          <w:sz w:val="21"/>
          <w:szCs w:val="21"/>
        </w:rPr>
        <w:t>.</w:t>
      </w:r>
      <w:r>
        <w:rPr>
          <w:rFonts w:ascii="Arial" w:hAnsi="Arial" w:cs="Arial"/>
          <w:sz w:val="21"/>
          <w:szCs w:val="21"/>
        </w:rPr>
        <w:t xml:space="preserve"> The TCS also specifies </w:t>
      </w:r>
      <w:r w:rsidR="00D264EC">
        <w:rPr>
          <w:rFonts w:ascii="Arial" w:hAnsi="Arial" w:cs="Arial"/>
          <w:sz w:val="21"/>
          <w:szCs w:val="21"/>
        </w:rPr>
        <w:t xml:space="preserve">that the Junior Doctors’ Forum is the body that decides how accrued monies are spent within the framework identified within the TCS. </w:t>
      </w:r>
    </w:p>
    <w:p w:rsidR="003D0347" w:rsidRDefault="003D0347" w:rsidP="00FE50B9">
      <w:pPr>
        <w:pStyle w:val="ListParagraph"/>
        <w:ind w:left="0"/>
        <w:contextualSpacing/>
        <w:jc w:val="both"/>
        <w:rPr>
          <w:rFonts w:ascii="Arial" w:hAnsi="Arial" w:cs="Arial"/>
          <w:sz w:val="21"/>
          <w:szCs w:val="21"/>
        </w:rPr>
      </w:pPr>
    </w:p>
    <w:p w:rsidR="007138F5" w:rsidRDefault="003D0347" w:rsidP="00FE50B9">
      <w:pPr>
        <w:pStyle w:val="ListParagraph"/>
        <w:ind w:left="0"/>
        <w:contextualSpacing/>
        <w:jc w:val="both"/>
        <w:rPr>
          <w:rFonts w:ascii="Arial" w:hAnsi="Arial" w:cs="Arial"/>
          <w:sz w:val="21"/>
          <w:szCs w:val="21"/>
        </w:rPr>
      </w:pPr>
      <w:r>
        <w:rPr>
          <w:rFonts w:ascii="Arial" w:hAnsi="Arial" w:cs="Arial"/>
          <w:sz w:val="21"/>
          <w:szCs w:val="21"/>
        </w:rPr>
        <w:t>Accruals in year from fines levied amount to £816. Ideas for spending this fund before the end of the financial year are being sought.</w:t>
      </w:r>
    </w:p>
    <w:p w:rsidR="003D0347" w:rsidRDefault="003D0347" w:rsidP="00FE50B9">
      <w:pPr>
        <w:pStyle w:val="ListParagraph"/>
        <w:ind w:left="0"/>
        <w:contextualSpacing/>
        <w:jc w:val="both"/>
        <w:rPr>
          <w:rFonts w:ascii="Arial" w:hAnsi="Arial" w:cs="Arial"/>
          <w:sz w:val="21"/>
          <w:szCs w:val="21"/>
        </w:rPr>
      </w:pPr>
    </w:p>
    <w:p w:rsidR="006B6766" w:rsidRDefault="006B6766" w:rsidP="00FE50B9">
      <w:pPr>
        <w:pStyle w:val="ListParagraph"/>
        <w:ind w:left="0"/>
        <w:contextualSpacing/>
        <w:jc w:val="both"/>
        <w:rPr>
          <w:rFonts w:ascii="Arial" w:hAnsi="Arial" w:cs="Arial"/>
          <w:sz w:val="21"/>
          <w:szCs w:val="21"/>
        </w:rPr>
      </w:pPr>
      <w:r>
        <w:rPr>
          <w:rFonts w:ascii="Arial" w:hAnsi="Arial" w:cs="Arial"/>
          <w:sz w:val="21"/>
          <w:szCs w:val="21"/>
        </w:rPr>
        <w:t>No fines were levied during</w:t>
      </w:r>
      <w:r w:rsidR="005976DA">
        <w:rPr>
          <w:rFonts w:ascii="Arial" w:hAnsi="Arial" w:cs="Arial"/>
          <w:sz w:val="21"/>
          <w:szCs w:val="21"/>
        </w:rPr>
        <w:t xml:space="preserve"> this quarter.</w:t>
      </w:r>
    </w:p>
    <w:p w:rsidR="006B6766" w:rsidRDefault="006B6766" w:rsidP="00FE50B9">
      <w:pPr>
        <w:pStyle w:val="ListParagraph"/>
        <w:ind w:left="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563"/>
      </w:tblGrid>
      <w:tr w:rsidR="006A3843" w:rsidRPr="002829D6" w:rsidTr="002829D6">
        <w:tc>
          <w:tcPr>
            <w:tcW w:w="599" w:type="dxa"/>
            <w:tcBorders>
              <w:bottom w:val="single" w:sz="4" w:space="0" w:color="auto"/>
              <w:right w:val="nil"/>
            </w:tcBorders>
            <w:shd w:val="clear" w:color="auto" w:fill="BFBFBF"/>
          </w:tcPr>
          <w:p w:rsidR="006A3843" w:rsidRPr="002829D6" w:rsidRDefault="006A3843"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t>3.8</w:t>
            </w:r>
          </w:p>
        </w:tc>
        <w:tc>
          <w:tcPr>
            <w:tcW w:w="7563" w:type="dxa"/>
            <w:tcBorders>
              <w:left w:val="nil"/>
              <w:bottom w:val="single" w:sz="4" w:space="0" w:color="auto"/>
            </w:tcBorders>
            <w:shd w:val="clear" w:color="auto" w:fill="BFBFBF"/>
            <w:vAlign w:val="center"/>
          </w:tcPr>
          <w:p w:rsidR="006A3843" w:rsidRPr="002829D6" w:rsidRDefault="006A3843"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Hours monitoring exercises (for doctors on 2002 TCS only)</w:t>
            </w:r>
          </w:p>
        </w:tc>
      </w:tr>
    </w:tbl>
    <w:p w:rsidR="006A3843" w:rsidRDefault="006A3843" w:rsidP="00FD31E0">
      <w:pPr>
        <w:pStyle w:val="ListParagraph"/>
        <w:ind w:left="0"/>
        <w:contextualSpacing/>
        <w:jc w:val="both"/>
        <w:rPr>
          <w:rFonts w:ascii="Arial" w:hAnsi="Arial" w:cs="Arial"/>
          <w:b/>
          <w:sz w:val="21"/>
          <w:szCs w:val="21"/>
        </w:rPr>
      </w:pPr>
    </w:p>
    <w:p w:rsidR="00775B8B" w:rsidRDefault="00775B8B" w:rsidP="00FD31E0">
      <w:pPr>
        <w:pStyle w:val="ListParagraph"/>
        <w:ind w:left="0"/>
        <w:contextualSpacing/>
        <w:jc w:val="both"/>
        <w:rPr>
          <w:rFonts w:ascii="Arial" w:hAnsi="Arial" w:cs="Arial"/>
          <w:b/>
          <w:sz w:val="21"/>
          <w:szCs w:val="21"/>
        </w:rPr>
      </w:pPr>
    </w:p>
    <w:p w:rsidR="0046718E" w:rsidRDefault="0046718E" w:rsidP="0046718E">
      <w:pPr>
        <w:pStyle w:val="ListParagraph"/>
        <w:numPr>
          <w:ilvl w:val="2"/>
          <w:numId w:val="4"/>
        </w:numPr>
        <w:contextualSpacing/>
        <w:jc w:val="both"/>
        <w:rPr>
          <w:rFonts w:ascii="Arial" w:hAnsi="Arial" w:cs="Arial"/>
          <w:sz w:val="21"/>
          <w:szCs w:val="21"/>
        </w:rPr>
      </w:pPr>
      <w:r>
        <w:rPr>
          <w:rFonts w:ascii="Arial" w:hAnsi="Arial" w:cs="Arial"/>
          <w:sz w:val="21"/>
          <w:szCs w:val="21"/>
        </w:rPr>
        <w:t>- ORC</w:t>
      </w:r>
    </w:p>
    <w:p w:rsidR="0046718E" w:rsidRDefault="0046718E" w:rsidP="0046718E">
      <w:pPr>
        <w:pStyle w:val="ListParagraph"/>
        <w:contextualSpacing/>
        <w:jc w:val="both"/>
        <w:rPr>
          <w:rFonts w:ascii="Arial" w:hAnsi="Arial" w:cs="Arial"/>
          <w:sz w:val="21"/>
          <w:szCs w:val="21"/>
        </w:rPr>
      </w:pPr>
    </w:p>
    <w:p w:rsidR="0046718E" w:rsidRDefault="0046718E" w:rsidP="0046718E">
      <w:pPr>
        <w:pStyle w:val="ListParagraph"/>
        <w:ind w:left="360"/>
        <w:contextualSpacing/>
        <w:jc w:val="both"/>
        <w:rPr>
          <w:rFonts w:ascii="Arial" w:hAnsi="Arial" w:cs="Arial"/>
          <w:sz w:val="21"/>
          <w:szCs w:val="21"/>
        </w:rPr>
      </w:pPr>
      <w:r>
        <w:rPr>
          <w:rFonts w:ascii="Arial" w:hAnsi="Arial" w:cs="Arial"/>
          <w:sz w:val="21"/>
          <w:szCs w:val="21"/>
        </w:rPr>
        <w:t>Monitoring of hours has bee</w:t>
      </w:r>
      <w:r w:rsidR="009D69DF">
        <w:rPr>
          <w:rFonts w:ascii="Arial" w:hAnsi="Arial" w:cs="Arial"/>
          <w:sz w:val="21"/>
          <w:szCs w:val="21"/>
        </w:rPr>
        <w:t xml:space="preserve">n undertaken in </w:t>
      </w:r>
      <w:proofErr w:type="gramStart"/>
      <w:r w:rsidR="00775B8B">
        <w:rPr>
          <w:rFonts w:ascii="Arial" w:hAnsi="Arial" w:cs="Arial"/>
          <w:sz w:val="21"/>
          <w:szCs w:val="21"/>
        </w:rPr>
        <w:t>Vascular</w:t>
      </w:r>
      <w:proofErr w:type="gramEnd"/>
      <w:r w:rsidR="00775B8B">
        <w:rPr>
          <w:rFonts w:ascii="Arial" w:hAnsi="Arial" w:cs="Arial"/>
          <w:sz w:val="21"/>
          <w:szCs w:val="21"/>
        </w:rPr>
        <w:t xml:space="preserve"> surgery</w:t>
      </w:r>
      <w:r>
        <w:rPr>
          <w:rFonts w:ascii="Arial" w:hAnsi="Arial" w:cs="Arial"/>
          <w:sz w:val="21"/>
          <w:szCs w:val="21"/>
        </w:rPr>
        <w:t xml:space="preserve"> and Paediatric Orthopaedics. Analysis of the data is currently being undertaken.</w:t>
      </w:r>
    </w:p>
    <w:p w:rsidR="0046718E" w:rsidRDefault="0046718E" w:rsidP="0046718E">
      <w:pPr>
        <w:pStyle w:val="ListParagraph"/>
        <w:ind w:left="360"/>
        <w:contextualSpacing/>
        <w:jc w:val="both"/>
        <w:rPr>
          <w:rFonts w:ascii="Arial" w:hAnsi="Arial" w:cs="Arial"/>
          <w:sz w:val="21"/>
          <w:szCs w:val="21"/>
        </w:rPr>
      </w:pPr>
      <w:r>
        <w:rPr>
          <w:rFonts w:ascii="Arial" w:hAnsi="Arial" w:cs="Arial"/>
          <w:sz w:val="21"/>
          <w:szCs w:val="21"/>
        </w:rPr>
        <w:t xml:space="preserve">Monitoring of hours for the doctors of the Combined Senior Paediatric rota is </w:t>
      </w:r>
      <w:r w:rsidR="00775B8B">
        <w:rPr>
          <w:rFonts w:ascii="Arial" w:hAnsi="Arial" w:cs="Arial"/>
          <w:sz w:val="21"/>
          <w:szCs w:val="21"/>
        </w:rPr>
        <w:t xml:space="preserve">also </w:t>
      </w:r>
      <w:r>
        <w:rPr>
          <w:rFonts w:ascii="Arial" w:hAnsi="Arial" w:cs="Arial"/>
          <w:sz w:val="21"/>
          <w:szCs w:val="21"/>
        </w:rPr>
        <w:t xml:space="preserve">currently being undertaken. </w:t>
      </w:r>
    </w:p>
    <w:p w:rsidR="0046718E" w:rsidRDefault="0046718E" w:rsidP="0046718E">
      <w:pPr>
        <w:pStyle w:val="ListParagraph"/>
        <w:ind w:left="360"/>
        <w:contextualSpacing/>
        <w:jc w:val="both"/>
        <w:rPr>
          <w:rFonts w:ascii="Arial" w:hAnsi="Arial" w:cs="Arial"/>
          <w:sz w:val="21"/>
          <w:szCs w:val="21"/>
        </w:rPr>
      </w:pPr>
      <w:r>
        <w:rPr>
          <w:rFonts w:ascii="Arial" w:hAnsi="Arial" w:cs="Arial"/>
          <w:sz w:val="21"/>
          <w:szCs w:val="21"/>
        </w:rPr>
        <w:t xml:space="preserve">An update of the above monitoring exercises will be provided in the next report. </w:t>
      </w:r>
    </w:p>
    <w:p w:rsidR="0046718E" w:rsidRDefault="0046718E" w:rsidP="0046718E">
      <w:pPr>
        <w:pStyle w:val="ListParagraph"/>
        <w:contextualSpacing/>
        <w:jc w:val="both"/>
        <w:rPr>
          <w:rFonts w:ascii="Arial" w:hAnsi="Arial" w:cs="Arial"/>
          <w:sz w:val="21"/>
          <w:szCs w:val="21"/>
        </w:rPr>
      </w:pPr>
    </w:p>
    <w:p w:rsidR="0046718E" w:rsidRDefault="0046718E" w:rsidP="0046718E">
      <w:pPr>
        <w:pStyle w:val="ListParagraph"/>
        <w:contextualSpacing/>
        <w:jc w:val="both"/>
        <w:rPr>
          <w:rFonts w:ascii="Arial" w:hAnsi="Arial" w:cs="Arial"/>
          <w:sz w:val="21"/>
          <w:szCs w:val="21"/>
        </w:rPr>
      </w:pPr>
    </w:p>
    <w:p w:rsidR="0046718E" w:rsidRDefault="0046718E" w:rsidP="0046718E">
      <w:pPr>
        <w:pStyle w:val="ListParagraph"/>
        <w:numPr>
          <w:ilvl w:val="2"/>
          <w:numId w:val="4"/>
        </w:numPr>
        <w:contextualSpacing/>
        <w:jc w:val="both"/>
        <w:rPr>
          <w:rFonts w:ascii="Arial" w:hAnsi="Arial" w:cs="Arial"/>
          <w:sz w:val="21"/>
          <w:szCs w:val="21"/>
        </w:rPr>
      </w:pPr>
      <w:r>
        <w:rPr>
          <w:rFonts w:ascii="Arial" w:hAnsi="Arial" w:cs="Arial"/>
          <w:sz w:val="21"/>
          <w:szCs w:val="21"/>
        </w:rPr>
        <w:t>– WTWA</w:t>
      </w:r>
    </w:p>
    <w:p w:rsidR="0046718E" w:rsidRDefault="0046718E" w:rsidP="00A37499">
      <w:pPr>
        <w:contextualSpacing/>
        <w:jc w:val="both"/>
        <w:rPr>
          <w:rFonts w:ascii="Arial" w:hAnsi="Arial" w:cs="Arial"/>
          <w:sz w:val="21"/>
          <w:szCs w:val="21"/>
        </w:rPr>
      </w:pPr>
      <w:r>
        <w:rPr>
          <w:rFonts w:ascii="Arial" w:hAnsi="Arial" w:cs="Arial"/>
          <w:sz w:val="21"/>
          <w:szCs w:val="21"/>
        </w:rPr>
        <w:t xml:space="preserve">  No monitoring has been undertaken during this period.</w:t>
      </w:r>
    </w:p>
    <w:p w:rsidR="00CD1F2C" w:rsidRPr="006A3843" w:rsidRDefault="00CD1F2C" w:rsidP="00A37499">
      <w:pPr>
        <w:contextualSpacing/>
        <w:jc w:val="both"/>
        <w:rPr>
          <w:rFonts w:ascii="Arial" w:hAnsi="Arial" w:cs="Arial"/>
          <w:sz w:val="21"/>
          <w:szCs w:val="21"/>
        </w:rPr>
      </w:pPr>
    </w:p>
    <w:p w:rsidR="006A3843" w:rsidRDefault="00FD31E0" w:rsidP="008A56F1">
      <w:pPr>
        <w:pStyle w:val="ListParagraph"/>
        <w:numPr>
          <w:ilvl w:val="0"/>
          <w:numId w:val="4"/>
        </w:numPr>
        <w:contextualSpacing/>
        <w:jc w:val="both"/>
        <w:rPr>
          <w:rFonts w:ascii="Arial" w:hAnsi="Arial" w:cs="Arial"/>
          <w:b/>
          <w:sz w:val="21"/>
          <w:szCs w:val="21"/>
        </w:rPr>
      </w:pPr>
      <w:r>
        <w:rPr>
          <w:rFonts w:ascii="Arial" w:hAnsi="Arial" w:cs="Arial"/>
          <w:b/>
          <w:sz w:val="21"/>
          <w:szCs w:val="21"/>
        </w:rPr>
        <w:t>Work Schedule reviews</w:t>
      </w:r>
    </w:p>
    <w:p w:rsidR="00905B4E" w:rsidRDefault="00905B4E" w:rsidP="00905B4E">
      <w:pPr>
        <w:pStyle w:val="ListParagraph"/>
        <w:ind w:left="360"/>
        <w:contextualSpacing/>
        <w:jc w:val="both"/>
        <w:rPr>
          <w:rFonts w:ascii="Arial" w:hAnsi="Arial" w:cs="Arial"/>
          <w:b/>
          <w:sz w:val="21"/>
          <w:szCs w:val="21"/>
        </w:rPr>
      </w:pPr>
    </w:p>
    <w:p w:rsidR="00C13E9D" w:rsidRPr="005976DA" w:rsidRDefault="006E7BC1" w:rsidP="005976DA">
      <w:pPr>
        <w:pStyle w:val="ListParagraph"/>
        <w:ind w:left="360"/>
        <w:contextualSpacing/>
        <w:jc w:val="both"/>
        <w:rPr>
          <w:rFonts w:ascii="Arial" w:hAnsi="Arial" w:cs="Arial"/>
          <w:sz w:val="21"/>
          <w:szCs w:val="21"/>
        </w:rPr>
      </w:pPr>
      <w:r>
        <w:rPr>
          <w:rFonts w:ascii="Arial" w:hAnsi="Arial" w:cs="Arial"/>
          <w:sz w:val="21"/>
          <w:szCs w:val="21"/>
        </w:rPr>
        <w:t>No work schedule review has been undertaken during this period.</w:t>
      </w:r>
    </w:p>
    <w:p w:rsidR="004D6163" w:rsidRPr="00280E0A" w:rsidRDefault="00280E0A" w:rsidP="00280E0A">
      <w:pPr>
        <w:pStyle w:val="ListParagraph"/>
        <w:ind w:left="360"/>
        <w:contextualSpacing/>
        <w:jc w:val="both"/>
        <w:rPr>
          <w:rFonts w:ascii="Arial" w:hAnsi="Arial" w:cs="Arial"/>
          <w:sz w:val="21"/>
          <w:szCs w:val="21"/>
        </w:rPr>
      </w:pPr>
      <w:r>
        <w:rPr>
          <w:rFonts w:ascii="Arial" w:hAnsi="Arial" w:cs="Arial"/>
          <w:sz w:val="21"/>
          <w:szCs w:val="21"/>
        </w:rPr>
        <w:t xml:space="preserve"> </w:t>
      </w:r>
    </w:p>
    <w:p w:rsidR="00FD31E0" w:rsidRDefault="00FD31E0" w:rsidP="008A56F1">
      <w:pPr>
        <w:pStyle w:val="ListParagraph"/>
        <w:numPr>
          <w:ilvl w:val="0"/>
          <w:numId w:val="4"/>
        </w:numPr>
        <w:contextualSpacing/>
        <w:jc w:val="both"/>
        <w:rPr>
          <w:rFonts w:ascii="Arial" w:hAnsi="Arial" w:cs="Arial"/>
          <w:b/>
          <w:sz w:val="21"/>
          <w:szCs w:val="21"/>
        </w:rPr>
      </w:pPr>
      <w:r>
        <w:rPr>
          <w:rFonts w:ascii="Arial" w:hAnsi="Arial" w:cs="Arial"/>
          <w:b/>
          <w:sz w:val="21"/>
          <w:szCs w:val="21"/>
        </w:rPr>
        <w:t>Locum bookings</w:t>
      </w:r>
      <w:r w:rsidR="00775B8B">
        <w:rPr>
          <w:rFonts w:ascii="Arial" w:hAnsi="Arial" w:cs="Arial"/>
          <w:b/>
          <w:sz w:val="21"/>
          <w:szCs w:val="21"/>
        </w:rPr>
        <w:t xml:space="preserve"> (Period  01/07/19 – 30/09</w:t>
      </w:r>
      <w:r w:rsidR="00AA6FA6">
        <w:rPr>
          <w:rFonts w:ascii="Arial" w:hAnsi="Arial" w:cs="Arial"/>
          <w:b/>
          <w:sz w:val="21"/>
          <w:szCs w:val="21"/>
        </w:rPr>
        <w:t>/19)</w:t>
      </w:r>
    </w:p>
    <w:p w:rsidR="00D264EC" w:rsidRDefault="00D264EC" w:rsidP="000F0BAA">
      <w:pPr>
        <w:pStyle w:val="ListParagraph"/>
        <w:ind w:left="0"/>
        <w:contextualSpacing/>
        <w:jc w:val="both"/>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43"/>
        <w:gridCol w:w="1417"/>
        <w:gridCol w:w="1559"/>
        <w:gridCol w:w="1276"/>
        <w:gridCol w:w="1468"/>
      </w:tblGrid>
      <w:tr w:rsidR="000A34EB" w:rsidRPr="002829D6" w:rsidTr="002829D6">
        <w:tc>
          <w:tcPr>
            <w:tcW w:w="599" w:type="dxa"/>
            <w:tcBorders>
              <w:right w:val="nil"/>
            </w:tcBorders>
            <w:shd w:val="clear" w:color="auto" w:fill="BFBFBF"/>
          </w:tcPr>
          <w:p w:rsidR="000A34EB" w:rsidRPr="002829D6" w:rsidRDefault="000A34EB"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t>5.1</w:t>
            </w:r>
          </w:p>
        </w:tc>
        <w:tc>
          <w:tcPr>
            <w:tcW w:w="7563" w:type="dxa"/>
            <w:gridSpan w:val="5"/>
            <w:tcBorders>
              <w:left w:val="nil"/>
            </w:tcBorders>
            <w:shd w:val="clear" w:color="auto" w:fill="BFBFBF"/>
            <w:vAlign w:val="center"/>
          </w:tcPr>
          <w:p w:rsidR="000A34EB" w:rsidRPr="002829D6" w:rsidRDefault="000A34EB"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Locum bookings (Bank &amp; Agency) by department</w:t>
            </w:r>
          </w:p>
        </w:tc>
      </w:tr>
      <w:tr w:rsidR="000A34EB" w:rsidRPr="002829D6" w:rsidTr="002829D6">
        <w:tc>
          <w:tcPr>
            <w:tcW w:w="2442" w:type="dxa"/>
            <w:gridSpan w:val="2"/>
            <w:shd w:val="clear" w:color="auto" w:fill="auto"/>
            <w:vAlign w:val="center"/>
          </w:tcPr>
          <w:p w:rsidR="000A34EB" w:rsidRPr="002829D6" w:rsidRDefault="00B606C0" w:rsidP="002829D6">
            <w:pPr>
              <w:pStyle w:val="ListParagraph"/>
              <w:spacing w:before="60" w:after="60" w:line="240" w:lineRule="auto"/>
              <w:ind w:left="0"/>
              <w:contextualSpacing/>
              <w:rPr>
                <w:rFonts w:ascii="Arial" w:hAnsi="Arial" w:cs="Arial"/>
                <w:b/>
                <w:sz w:val="16"/>
                <w:szCs w:val="16"/>
              </w:rPr>
            </w:pPr>
            <w:r>
              <w:rPr>
                <w:rFonts w:ascii="Arial" w:hAnsi="Arial" w:cs="Arial"/>
                <w:b/>
                <w:sz w:val="16"/>
                <w:szCs w:val="16"/>
              </w:rPr>
              <w:t>Area</w:t>
            </w:r>
          </w:p>
        </w:tc>
        <w:tc>
          <w:tcPr>
            <w:tcW w:w="1417" w:type="dxa"/>
            <w:shd w:val="clear" w:color="auto" w:fill="auto"/>
            <w:vAlign w:val="center"/>
          </w:tcPr>
          <w:p w:rsidR="000A34EB" w:rsidRPr="002829D6" w:rsidRDefault="000A34EB"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 of shifts requested</w:t>
            </w:r>
          </w:p>
        </w:tc>
        <w:tc>
          <w:tcPr>
            <w:tcW w:w="1559" w:type="dxa"/>
            <w:shd w:val="clear" w:color="auto" w:fill="auto"/>
            <w:vAlign w:val="center"/>
          </w:tcPr>
          <w:p w:rsidR="000A34EB" w:rsidRPr="002829D6" w:rsidRDefault="000A34EB"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 of shifts worked</w:t>
            </w:r>
          </w:p>
        </w:tc>
        <w:tc>
          <w:tcPr>
            <w:tcW w:w="1276" w:type="dxa"/>
            <w:shd w:val="clear" w:color="auto" w:fill="auto"/>
            <w:vAlign w:val="center"/>
          </w:tcPr>
          <w:p w:rsidR="000A34EB" w:rsidRPr="002829D6" w:rsidRDefault="000A34EB"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hours requested</w:t>
            </w:r>
          </w:p>
        </w:tc>
        <w:tc>
          <w:tcPr>
            <w:tcW w:w="1468" w:type="dxa"/>
            <w:shd w:val="clear" w:color="auto" w:fill="auto"/>
            <w:vAlign w:val="center"/>
          </w:tcPr>
          <w:p w:rsidR="000A34EB" w:rsidRPr="002829D6" w:rsidRDefault="000A34EB"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 of hours worked</w:t>
            </w:r>
          </w:p>
        </w:tc>
      </w:tr>
      <w:tr w:rsidR="0060399D" w:rsidRPr="002829D6" w:rsidTr="0067129B">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A&amp;E</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692</w:t>
            </w:r>
          </w:p>
        </w:tc>
        <w:tc>
          <w:tcPr>
            <w:tcW w:w="1559" w:type="dxa"/>
            <w:shd w:val="clear" w:color="auto" w:fill="auto"/>
            <w:vAlign w:val="center"/>
          </w:tcPr>
          <w:p w:rsidR="0060399D" w:rsidRPr="00A67F8A" w:rsidRDefault="0060399D" w:rsidP="0067129B">
            <w:pPr>
              <w:jc w:val="center"/>
              <w:rPr>
                <w:rFonts w:ascii="Arial" w:hAnsi="Arial" w:cs="Arial"/>
                <w:color w:val="000000"/>
                <w:sz w:val="16"/>
                <w:szCs w:val="16"/>
              </w:rPr>
            </w:pPr>
            <w:r w:rsidRPr="00A67F8A">
              <w:rPr>
                <w:rFonts w:ascii="Arial" w:hAnsi="Arial" w:cs="Arial"/>
                <w:color w:val="000000"/>
                <w:sz w:val="16"/>
                <w:szCs w:val="16"/>
              </w:rPr>
              <w:t>412</w:t>
            </w:r>
          </w:p>
        </w:tc>
        <w:tc>
          <w:tcPr>
            <w:tcW w:w="1276" w:type="dxa"/>
            <w:shd w:val="clear" w:color="auto" w:fill="auto"/>
            <w:vAlign w:val="center"/>
          </w:tcPr>
          <w:p w:rsidR="0060399D" w:rsidRPr="002829D6" w:rsidRDefault="0067129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r w:rsidR="009D69DF">
              <w:rPr>
                <w:rFonts w:ascii="Arial" w:hAnsi="Arial" w:cs="Arial"/>
                <w:sz w:val="16"/>
                <w:szCs w:val="16"/>
              </w:rPr>
              <w:t>,</w:t>
            </w:r>
            <w:r w:rsidR="0060399D">
              <w:rPr>
                <w:rFonts w:ascii="Arial" w:hAnsi="Arial" w:cs="Arial"/>
                <w:sz w:val="16"/>
                <w:szCs w:val="16"/>
              </w:rPr>
              <w:t>070</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3600</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Medical Assessment</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106</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79</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731</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519</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Acute medicine</w:t>
            </w:r>
          </w:p>
        </w:tc>
        <w:tc>
          <w:tcPr>
            <w:tcW w:w="1417" w:type="dxa"/>
            <w:shd w:val="clear" w:color="auto" w:fill="auto"/>
            <w:vAlign w:val="center"/>
          </w:tcPr>
          <w:p w:rsidR="0060399D" w:rsidRPr="00D315FD" w:rsidRDefault="0060399D" w:rsidP="00A67F8A">
            <w:pPr>
              <w:pStyle w:val="ListParagraph"/>
              <w:spacing w:before="60" w:after="60" w:line="240" w:lineRule="auto"/>
              <w:ind w:left="0"/>
              <w:contextualSpacing/>
              <w:jc w:val="center"/>
              <w:rPr>
                <w:rFonts w:ascii="Arial" w:hAnsi="Arial" w:cs="Arial"/>
                <w:color w:val="FF0000"/>
                <w:sz w:val="16"/>
                <w:szCs w:val="16"/>
              </w:rPr>
            </w:pPr>
            <w:r>
              <w:rPr>
                <w:rFonts w:ascii="Arial" w:hAnsi="Arial" w:cs="Arial"/>
                <w:sz w:val="16"/>
                <w:szCs w:val="16"/>
              </w:rPr>
              <w:t xml:space="preserve">981 </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180</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w:t>
            </w:r>
            <w:r w:rsidR="009D69DF">
              <w:rPr>
                <w:rFonts w:ascii="Arial" w:hAnsi="Arial" w:cs="Arial"/>
                <w:sz w:val="16"/>
                <w:szCs w:val="16"/>
              </w:rPr>
              <w:t>,</w:t>
            </w:r>
            <w:r>
              <w:rPr>
                <w:rFonts w:ascii="Arial" w:hAnsi="Arial" w:cs="Arial"/>
                <w:sz w:val="16"/>
                <w:szCs w:val="16"/>
              </w:rPr>
              <w:t>172</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1</w:t>
            </w:r>
            <w:r w:rsidR="009D69DF">
              <w:rPr>
                <w:rFonts w:ascii="Arial" w:hAnsi="Arial" w:cs="Arial"/>
                <w:color w:val="000000"/>
                <w:sz w:val="16"/>
                <w:szCs w:val="16"/>
              </w:rPr>
              <w:t>,</w:t>
            </w:r>
            <w:r w:rsidRPr="0060399D">
              <w:rPr>
                <w:rFonts w:ascii="Arial" w:hAnsi="Arial" w:cs="Arial"/>
                <w:color w:val="000000"/>
                <w:sz w:val="16"/>
                <w:szCs w:val="16"/>
              </w:rPr>
              <w:t>501</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Acute ICU</w:t>
            </w:r>
          </w:p>
        </w:tc>
        <w:tc>
          <w:tcPr>
            <w:tcW w:w="1417" w:type="dxa"/>
            <w:shd w:val="clear" w:color="auto" w:fill="auto"/>
            <w:vAlign w:val="center"/>
          </w:tcPr>
          <w:p w:rsidR="0060399D" w:rsidRPr="002829D6" w:rsidRDefault="00D52E7F"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51</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50</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563</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546</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Adult CRF</w:t>
            </w:r>
          </w:p>
        </w:tc>
        <w:tc>
          <w:tcPr>
            <w:tcW w:w="1417" w:type="dxa"/>
            <w:shd w:val="clear" w:color="auto" w:fill="auto"/>
            <w:vAlign w:val="center"/>
          </w:tcPr>
          <w:p w:rsidR="0060399D"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16</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13</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53</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45</w:t>
            </w:r>
          </w:p>
        </w:tc>
      </w:tr>
      <w:tr w:rsidR="0060399D" w:rsidRPr="002829D6" w:rsidTr="00417520">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Anaesthetics</w:t>
            </w:r>
          </w:p>
        </w:tc>
        <w:tc>
          <w:tcPr>
            <w:tcW w:w="1417" w:type="dxa"/>
            <w:shd w:val="clear" w:color="auto" w:fill="auto"/>
            <w:vAlign w:val="center"/>
          </w:tcPr>
          <w:p w:rsidR="0060399D" w:rsidRPr="002829D6" w:rsidRDefault="0060399D" w:rsidP="00A67F8A">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 xml:space="preserve">197 </w:t>
            </w:r>
          </w:p>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56</w:t>
            </w:r>
          </w:p>
        </w:tc>
        <w:tc>
          <w:tcPr>
            <w:tcW w:w="1276" w:type="dxa"/>
            <w:shd w:val="clear" w:color="auto" w:fill="FFFFFF" w:themeFill="background1"/>
            <w:vAlign w:val="center"/>
          </w:tcPr>
          <w:p w:rsidR="0060399D" w:rsidRPr="002829D6" w:rsidRDefault="008C0139" w:rsidP="002829D6">
            <w:pPr>
              <w:pStyle w:val="ListParagraph"/>
              <w:spacing w:before="60" w:after="60" w:line="240" w:lineRule="auto"/>
              <w:ind w:left="0"/>
              <w:contextualSpacing/>
              <w:jc w:val="center"/>
              <w:rPr>
                <w:rFonts w:ascii="Arial" w:hAnsi="Arial" w:cs="Arial"/>
                <w:sz w:val="16"/>
                <w:szCs w:val="16"/>
              </w:rPr>
            </w:pPr>
            <w:r w:rsidRPr="00417520">
              <w:rPr>
                <w:rFonts w:ascii="Arial" w:hAnsi="Arial" w:cs="Arial"/>
                <w:sz w:val="16"/>
                <w:szCs w:val="16"/>
              </w:rPr>
              <w:t>2</w:t>
            </w:r>
            <w:r w:rsidR="009D69DF">
              <w:rPr>
                <w:rFonts w:ascii="Arial" w:hAnsi="Arial" w:cs="Arial"/>
                <w:sz w:val="16"/>
                <w:szCs w:val="16"/>
              </w:rPr>
              <w:t>,</w:t>
            </w:r>
            <w:r w:rsidRPr="00417520">
              <w:rPr>
                <w:rFonts w:ascii="Arial" w:hAnsi="Arial" w:cs="Arial"/>
                <w:sz w:val="16"/>
                <w:szCs w:val="16"/>
              </w:rPr>
              <w:t>233</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623</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Burns and Plastics</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179</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149</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9D69DF">
              <w:rPr>
                <w:rFonts w:ascii="Arial" w:hAnsi="Arial" w:cs="Arial"/>
                <w:sz w:val="16"/>
                <w:szCs w:val="16"/>
              </w:rPr>
              <w:t>,</w:t>
            </w:r>
            <w:r>
              <w:rPr>
                <w:rFonts w:ascii="Arial" w:hAnsi="Arial" w:cs="Arial"/>
                <w:sz w:val="16"/>
                <w:szCs w:val="16"/>
              </w:rPr>
              <w:t>929</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1</w:t>
            </w:r>
            <w:r w:rsidR="009D69DF">
              <w:rPr>
                <w:rFonts w:ascii="Arial" w:hAnsi="Arial" w:cs="Arial"/>
                <w:color w:val="000000"/>
                <w:sz w:val="16"/>
                <w:szCs w:val="16"/>
              </w:rPr>
              <w:t>,</w:t>
            </w:r>
            <w:r w:rsidRPr="0060399D">
              <w:rPr>
                <w:rFonts w:ascii="Arial" w:hAnsi="Arial" w:cs="Arial"/>
                <w:color w:val="000000"/>
                <w:sz w:val="16"/>
                <w:szCs w:val="16"/>
              </w:rPr>
              <w:t>579</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Cardiology</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122</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12</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9D69DF">
              <w:rPr>
                <w:rFonts w:ascii="Arial" w:hAnsi="Arial" w:cs="Arial"/>
                <w:sz w:val="16"/>
                <w:szCs w:val="16"/>
              </w:rPr>
              <w:t>,</w:t>
            </w:r>
            <w:r>
              <w:rPr>
                <w:rFonts w:ascii="Arial" w:hAnsi="Arial" w:cs="Arial"/>
                <w:sz w:val="16"/>
                <w:szCs w:val="16"/>
              </w:rPr>
              <w:t>293</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122</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Cardiothoracic Surgery</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319</w:t>
            </w:r>
          </w:p>
        </w:tc>
        <w:tc>
          <w:tcPr>
            <w:tcW w:w="1559" w:type="dxa"/>
            <w:shd w:val="clear" w:color="auto" w:fill="auto"/>
            <w:vAlign w:val="center"/>
          </w:tcPr>
          <w:p w:rsidR="0060399D" w:rsidRPr="00A67F8A" w:rsidRDefault="0060399D" w:rsidP="009D69DF">
            <w:pPr>
              <w:jc w:val="center"/>
              <w:rPr>
                <w:rFonts w:ascii="Arial" w:hAnsi="Arial" w:cs="Arial"/>
                <w:color w:val="000000"/>
                <w:sz w:val="16"/>
                <w:szCs w:val="16"/>
              </w:rPr>
            </w:pPr>
            <w:r w:rsidRPr="00A67F8A">
              <w:rPr>
                <w:rFonts w:ascii="Arial" w:hAnsi="Arial" w:cs="Arial"/>
                <w:color w:val="000000"/>
                <w:sz w:val="16"/>
                <w:szCs w:val="16"/>
              </w:rPr>
              <w:t>86</w:t>
            </w:r>
          </w:p>
        </w:tc>
        <w:tc>
          <w:tcPr>
            <w:tcW w:w="1276" w:type="dxa"/>
            <w:shd w:val="clear" w:color="auto" w:fill="auto"/>
            <w:vAlign w:val="center"/>
          </w:tcPr>
          <w:p w:rsidR="0060399D" w:rsidRPr="002829D6" w:rsidRDefault="00232C89"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r w:rsidR="009D69DF">
              <w:rPr>
                <w:rFonts w:ascii="Arial" w:hAnsi="Arial" w:cs="Arial"/>
                <w:sz w:val="16"/>
                <w:szCs w:val="16"/>
              </w:rPr>
              <w:t>,</w:t>
            </w:r>
            <w:r w:rsidR="0060399D">
              <w:rPr>
                <w:rFonts w:ascii="Arial" w:hAnsi="Arial" w:cs="Arial"/>
                <w:sz w:val="16"/>
                <w:szCs w:val="16"/>
              </w:rPr>
              <w:t>5</w:t>
            </w:r>
            <w:r>
              <w:rPr>
                <w:rFonts w:ascii="Arial" w:hAnsi="Arial" w:cs="Arial"/>
                <w:sz w:val="16"/>
                <w:szCs w:val="16"/>
              </w:rPr>
              <w:t>8</w:t>
            </w:r>
            <w:r w:rsidR="0060399D">
              <w:rPr>
                <w:rFonts w:ascii="Arial" w:hAnsi="Arial" w:cs="Arial"/>
                <w:sz w:val="16"/>
                <w:szCs w:val="16"/>
              </w:rPr>
              <w:t>0</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929</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Care of the Elderly Rehab</w:t>
            </w:r>
          </w:p>
        </w:tc>
        <w:tc>
          <w:tcPr>
            <w:tcW w:w="1417" w:type="dxa"/>
            <w:shd w:val="clear" w:color="auto" w:fill="auto"/>
            <w:vAlign w:val="center"/>
          </w:tcPr>
          <w:p w:rsidR="0060399D"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536</w:t>
            </w:r>
          </w:p>
        </w:tc>
        <w:tc>
          <w:tcPr>
            <w:tcW w:w="1559" w:type="dxa"/>
            <w:shd w:val="clear" w:color="auto" w:fill="auto"/>
            <w:vAlign w:val="center"/>
          </w:tcPr>
          <w:p w:rsidR="0060399D" w:rsidRPr="00A67F8A" w:rsidRDefault="0060399D" w:rsidP="009D69DF">
            <w:pPr>
              <w:jc w:val="center"/>
              <w:rPr>
                <w:rFonts w:ascii="Arial" w:hAnsi="Arial" w:cs="Arial"/>
                <w:color w:val="000000"/>
                <w:sz w:val="16"/>
                <w:szCs w:val="16"/>
              </w:rPr>
            </w:pPr>
            <w:r w:rsidRPr="00A67F8A">
              <w:rPr>
                <w:rFonts w:ascii="Arial" w:hAnsi="Arial" w:cs="Arial"/>
                <w:color w:val="000000"/>
                <w:sz w:val="16"/>
                <w:szCs w:val="16"/>
              </w:rPr>
              <w:t>1</w:t>
            </w:r>
            <w:r w:rsidR="009D69DF">
              <w:rPr>
                <w:rFonts w:ascii="Arial" w:hAnsi="Arial" w:cs="Arial"/>
                <w:color w:val="000000"/>
                <w:sz w:val="16"/>
                <w:szCs w:val="16"/>
              </w:rPr>
              <w:t>,</w:t>
            </w:r>
            <w:r w:rsidRPr="00A67F8A">
              <w:rPr>
                <w:rFonts w:ascii="Arial" w:hAnsi="Arial" w:cs="Arial"/>
                <w:color w:val="000000"/>
                <w:sz w:val="16"/>
                <w:szCs w:val="16"/>
              </w:rPr>
              <w:t>299</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r w:rsidR="009D69DF">
              <w:rPr>
                <w:rFonts w:ascii="Arial" w:hAnsi="Arial" w:cs="Arial"/>
                <w:sz w:val="16"/>
                <w:szCs w:val="16"/>
              </w:rPr>
              <w:t>,</w:t>
            </w:r>
            <w:r>
              <w:rPr>
                <w:rFonts w:ascii="Arial" w:hAnsi="Arial" w:cs="Arial"/>
                <w:sz w:val="16"/>
                <w:szCs w:val="16"/>
              </w:rPr>
              <w:t>556</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11</w:t>
            </w:r>
            <w:r w:rsidR="009D69DF">
              <w:rPr>
                <w:rFonts w:ascii="Arial" w:hAnsi="Arial" w:cs="Arial"/>
                <w:color w:val="000000"/>
                <w:sz w:val="16"/>
                <w:szCs w:val="16"/>
              </w:rPr>
              <w:t>,</w:t>
            </w:r>
            <w:r w:rsidRPr="0060399D">
              <w:rPr>
                <w:rFonts w:ascii="Arial" w:hAnsi="Arial" w:cs="Arial"/>
                <w:color w:val="000000"/>
                <w:sz w:val="16"/>
                <w:szCs w:val="16"/>
              </w:rPr>
              <w:t>220</w:t>
            </w:r>
          </w:p>
        </w:tc>
      </w:tr>
      <w:tr w:rsidR="0060399D" w:rsidRPr="002829D6" w:rsidTr="00A01251">
        <w:tc>
          <w:tcPr>
            <w:tcW w:w="2442" w:type="dxa"/>
            <w:gridSpan w:val="2"/>
            <w:shd w:val="clear" w:color="auto" w:fill="auto"/>
            <w:vAlign w:val="center"/>
          </w:tcPr>
          <w:p w:rsidR="0060399D" w:rsidRDefault="0060399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Children’s Radiology </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3</w:t>
            </w:r>
          </w:p>
        </w:tc>
        <w:tc>
          <w:tcPr>
            <w:tcW w:w="1276" w:type="dxa"/>
            <w:shd w:val="clear" w:color="auto" w:fill="auto"/>
            <w:vAlign w:val="center"/>
          </w:tcPr>
          <w:p w:rsidR="0060399D" w:rsidRPr="002829D6" w:rsidRDefault="004C4197"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105</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29</w:t>
            </w:r>
          </w:p>
        </w:tc>
      </w:tr>
      <w:tr w:rsidR="0060399D" w:rsidRPr="002829D6" w:rsidTr="00A01251">
        <w:tc>
          <w:tcPr>
            <w:tcW w:w="2442" w:type="dxa"/>
            <w:gridSpan w:val="2"/>
            <w:shd w:val="clear" w:color="auto" w:fill="auto"/>
            <w:vAlign w:val="center"/>
          </w:tcPr>
          <w:p w:rsidR="0060399D" w:rsidRDefault="0060399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Critical care</w:t>
            </w:r>
          </w:p>
        </w:tc>
        <w:tc>
          <w:tcPr>
            <w:tcW w:w="1417" w:type="dxa"/>
            <w:shd w:val="clear" w:color="auto" w:fill="auto"/>
            <w:vAlign w:val="center"/>
          </w:tcPr>
          <w:p w:rsidR="0060399D"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3</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90</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29</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w:t>
            </w:r>
          </w:p>
        </w:tc>
        <w:tc>
          <w:tcPr>
            <w:tcW w:w="1417" w:type="dxa"/>
            <w:shd w:val="clear" w:color="auto" w:fill="auto"/>
            <w:vAlign w:val="center"/>
          </w:tcPr>
          <w:p w:rsidR="0060399D"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24</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5</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314</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99</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Dermatology</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129</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118</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996</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851</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Diabetes &amp; Endocrinology</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21</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17</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241</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191</w:t>
            </w:r>
          </w:p>
        </w:tc>
      </w:tr>
      <w:tr w:rsidR="0060399D" w:rsidRPr="002829D6" w:rsidTr="00A01251">
        <w:tc>
          <w:tcPr>
            <w:tcW w:w="2442" w:type="dxa"/>
            <w:gridSpan w:val="2"/>
            <w:shd w:val="clear" w:color="auto" w:fill="auto"/>
            <w:vAlign w:val="center"/>
          </w:tcPr>
          <w:p w:rsidR="0060399D" w:rsidRPr="002829D6" w:rsidRDefault="0060399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lastRenderedPageBreak/>
              <w:t>ENT</w:t>
            </w:r>
          </w:p>
        </w:tc>
        <w:tc>
          <w:tcPr>
            <w:tcW w:w="1417"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170</w:t>
            </w:r>
          </w:p>
        </w:tc>
        <w:tc>
          <w:tcPr>
            <w:tcW w:w="1559" w:type="dxa"/>
            <w:shd w:val="clear" w:color="auto" w:fill="auto"/>
            <w:vAlign w:val="center"/>
          </w:tcPr>
          <w:p w:rsidR="0060399D" w:rsidRPr="00A67F8A" w:rsidRDefault="0060399D" w:rsidP="00A01251">
            <w:pPr>
              <w:jc w:val="center"/>
              <w:rPr>
                <w:rFonts w:ascii="Arial" w:hAnsi="Arial" w:cs="Arial"/>
                <w:color w:val="000000"/>
                <w:sz w:val="16"/>
                <w:szCs w:val="16"/>
              </w:rPr>
            </w:pPr>
            <w:r w:rsidRPr="00A67F8A">
              <w:rPr>
                <w:rFonts w:ascii="Arial" w:hAnsi="Arial" w:cs="Arial"/>
                <w:color w:val="000000"/>
                <w:sz w:val="16"/>
                <w:szCs w:val="16"/>
              </w:rPr>
              <w:t>150</w:t>
            </w:r>
          </w:p>
        </w:tc>
        <w:tc>
          <w:tcPr>
            <w:tcW w:w="1276" w:type="dxa"/>
            <w:shd w:val="clear" w:color="auto" w:fill="auto"/>
            <w:vAlign w:val="center"/>
          </w:tcPr>
          <w:p w:rsidR="0060399D" w:rsidRPr="002829D6" w:rsidRDefault="006039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9D69DF">
              <w:rPr>
                <w:rFonts w:ascii="Arial" w:hAnsi="Arial" w:cs="Arial"/>
                <w:sz w:val="16"/>
                <w:szCs w:val="16"/>
              </w:rPr>
              <w:t>,</w:t>
            </w:r>
            <w:r>
              <w:rPr>
                <w:rFonts w:ascii="Arial" w:hAnsi="Arial" w:cs="Arial"/>
                <w:sz w:val="16"/>
                <w:szCs w:val="16"/>
              </w:rPr>
              <w:t>465</w:t>
            </w:r>
          </w:p>
        </w:tc>
        <w:tc>
          <w:tcPr>
            <w:tcW w:w="1468" w:type="dxa"/>
            <w:shd w:val="clear" w:color="auto" w:fill="auto"/>
            <w:vAlign w:val="bottom"/>
          </w:tcPr>
          <w:p w:rsidR="0060399D" w:rsidRPr="0060399D" w:rsidRDefault="0060399D" w:rsidP="0060399D">
            <w:pPr>
              <w:jc w:val="center"/>
              <w:rPr>
                <w:rFonts w:ascii="Arial" w:hAnsi="Arial" w:cs="Arial"/>
                <w:color w:val="000000"/>
                <w:sz w:val="16"/>
                <w:szCs w:val="16"/>
              </w:rPr>
            </w:pPr>
            <w:r w:rsidRPr="0060399D">
              <w:rPr>
                <w:rFonts w:ascii="Arial" w:hAnsi="Arial" w:cs="Arial"/>
                <w:color w:val="000000"/>
                <w:sz w:val="16"/>
                <w:szCs w:val="16"/>
              </w:rPr>
              <w:t>1</w:t>
            </w:r>
            <w:r w:rsidR="009D69DF">
              <w:rPr>
                <w:rFonts w:ascii="Arial" w:hAnsi="Arial" w:cs="Arial"/>
                <w:color w:val="000000"/>
                <w:sz w:val="16"/>
                <w:szCs w:val="16"/>
              </w:rPr>
              <w:t>,</w:t>
            </w:r>
            <w:r w:rsidRPr="0060399D">
              <w:rPr>
                <w:rFonts w:ascii="Arial" w:hAnsi="Arial" w:cs="Arial"/>
                <w:color w:val="000000"/>
                <w:sz w:val="16"/>
                <w:szCs w:val="16"/>
              </w:rPr>
              <w:t>363</w:t>
            </w:r>
          </w:p>
        </w:tc>
      </w:tr>
      <w:tr w:rsidR="00CD1F2C" w:rsidRPr="002829D6" w:rsidTr="00CD1F2C">
        <w:trPr>
          <w:trHeight w:val="131"/>
        </w:trPr>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sidRPr="00A37499">
              <w:rPr>
                <w:rFonts w:ascii="Arial" w:hAnsi="Arial" w:cs="Arial"/>
                <w:b/>
                <w:sz w:val="16"/>
                <w:szCs w:val="16"/>
              </w:rPr>
              <w:t>Area</w:t>
            </w:r>
          </w:p>
        </w:tc>
        <w:tc>
          <w:tcPr>
            <w:tcW w:w="1417" w:type="dxa"/>
            <w:shd w:val="clear" w:color="auto" w:fill="auto"/>
            <w:vAlign w:val="center"/>
          </w:tcPr>
          <w:p w:rsidR="00CD1F2C" w:rsidRDefault="00CD1F2C" w:rsidP="002829D6">
            <w:pPr>
              <w:pStyle w:val="ListParagraph"/>
              <w:spacing w:before="60" w:after="60" w:line="240" w:lineRule="auto"/>
              <w:ind w:left="0"/>
              <w:contextualSpacing/>
              <w:jc w:val="center"/>
              <w:rPr>
                <w:rFonts w:ascii="Arial" w:hAnsi="Arial" w:cs="Arial"/>
                <w:sz w:val="16"/>
                <w:szCs w:val="16"/>
              </w:rPr>
            </w:pPr>
            <w:r w:rsidRPr="00A37499">
              <w:rPr>
                <w:rFonts w:ascii="Arial" w:hAnsi="Arial" w:cs="Arial"/>
                <w:b/>
                <w:sz w:val="16"/>
                <w:szCs w:val="16"/>
              </w:rPr>
              <w:t>Number of Shifts requested</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37499">
              <w:rPr>
                <w:rFonts w:ascii="Arial" w:hAnsi="Arial" w:cs="Arial"/>
                <w:b/>
                <w:color w:val="000000"/>
                <w:sz w:val="16"/>
                <w:szCs w:val="16"/>
              </w:rPr>
              <w:t>Number of Shifts worked</w:t>
            </w:r>
          </w:p>
        </w:tc>
        <w:tc>
          <w:tcPr>
            <w:tcW w:w="1276" w:type="dxa"/>
            <w:shd w:val="clear" w:color="auto" w:fill="auto"/>
            <w:vAlign w:val="center"/>
          </w:tcPr>
          <w:p w:rsidR="00CD1F2C" w:rsidRDefault="00CD1F2C" w:rsidP="002829D6">
            <w:pPr>
              <w:pStyle w:val="ListParagraph"/>
              <w:spacing w:before="60" w:after="60" w:line="240" w:lineRule="auto"/>
              <w:ind w:left="0"/>
              <w:contextualSpacing/>
              <w:jc w:val="center"/>
              <w:rPr>
                <w:rFonts w:ascii="Arial" w:hAnsi="Arial" w:cs="Arial"/>
                <w:sz w:val="16"/>
                <w:szCs w:val="16"/>
              </w:rPr>
            </w:pPr>
            <w:r w:rsidRPr="00A37499">
              <w:rPr>
                <w:rFonts w:ascii="Arial" w:hAnsi="Arial" w:cs="Arial"/>
                <w:b/>
                <w:sz w:val="16"/>
                <w:szCs w:val="16"/>
              </w:rPr>
              <w:t>Number of hours requested</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A37499">
              <w:rPr>
                <w:rFonts w:ascii="Arial" w:hAnsi="Arial" w:cs="Arial"/>
                <w:b/>
                <w:color w:val="000000"/>
                <w:sz w:val="16"/>
                <w:szCs w:val="16"/>
              </w:rPr>
              <w:t>Number of hours worked</w:t>
            </w:r>
          </w:p>
        </w:tc>
      </w:tr>
      <w:tr w:rsidR="00CD1F2C" w:rsidRPr="002829D6" w:rsidTr="00A01251">
        <w:tc>
          <w:tcPr>
            <w:tcW w:w="2442" w:type="dxa"/>
            <w:gridSpan w:val="2"/>
            <w:shd w:val="clear" w:color="auto" w:fill="auto"/>
            <w:vAlign w:val="center"/>
          </w:tcPr>
          <w:p w:rsidR="00CD1F2C" w:rsidRPr="00A37499" w:rsidRDefault="00CD1F2C" w:rsidP="002829D6">
            <w:pPr>
              <w:pStyle w:val="ListParagraph"/>
              <w:spacing w:before="60" w:after="60" w:line="240" w:lineRule="auto"/>
              <w:ind w:left="0"/>
              <w:contextualSpacing/>
              <w:rPr>
                <w:rFonts w:ascii="Arial" w:hAnsi="Arial" w:cs="Arial"/>
                <w:b/>
                <w:sz w:val="16"/>
                <w:szCs w:val="16"/>
              </w:rPr>
            </w:pPr>
            <w:r w:rsidRPr="002829D6">
              <w:rPr>
                <w:rFonts w:ascii="Arial" w:hAnsi="Arial" w:cs="Arial"/>
                <w:sz w:val="16"/>
                <w:szCs w:val="16"/>
              </w:rPr>
              <w:t>Gastroenterology</w:t>
            </w:r>
          </w:p>
        </w:tc>
        <w:tc>
          <w:tcPr>
            <w:tcW w:w="1417" w:type="dxa"/>
            <w:shd w:val="clear" w:color="auto" w:fill="auto"/>
            <w:vAlign w:val="center"/>
          </w:tcPr>
          <w:p w:rsidR="00CD1F2C" w:rsidRPr="00A37499" w:rsidRDefault="00CD1F2C" w:rsidP="002829D6">
            <w:pPr>
              <w:pStyle w:val="ListParagraph"/>
              <w:spacing w:before="60" w:after="60" w:line="240" w:lineRule="auto"/>
              <w:ind w:left="0"/>
              <w:contextualSpacing/>
              <w:jc w:val="center"/>
              <w:rPr>
                <w:rFonts w:ascii="Arial" w:hAnsi="Arial" w:cs="Arial"/>
                <w:b/>
                <w:sz w:val="16"/>
                <w:szCs w:val="16"/>
              </w:rPr>
            </w:pPr>
            <w:r>
              <w:rPr>
                <w:rFonts w:ascii="Arial" w:hAnsi="Arial" w:cs="Arial"/>
                <w:sz w:val="16"/>
                <w:szCs w:val="16"/>
              </w:rPr>
              <w:t>265</w:t>
            </w:r>
          </w:p>
        </w:tc>
        <w:tc>
          <w:tcPr>
            <w:tcW w:w="1559" w:type="dxa"/>
            <w:shd w:val="clear" w:color="auto" w:fill="auto"/>
            <w:vAlign w:val="center"/>
          </w:tcPr>
          <w:p w:rsidR="00CD1F2C" w:rsidRPr="00A37499" w:rsidRDefault="00CD1F2C" w:rsidP="00A01251">
            <w:pPr>
              <w:jc w:val="center"/>
              <w:rPr>
                <w:rFonts w:ascii="Arial" w:hAnsi="Arial" w:cs="Arial"/>
                <w:b/>
                <w:color w:val="000000"/>
                <w:sz w:val="16"/>
                <w:szCs w:val="16"/>
              </w:rPr>
            </w:pPr>
            <w:r w:rsidRPr="00A67F8A">
              <w:rPr>
                <w:rFonts w:ascii="Arial" w:hAnsi="Arial" w:cs="Arial"/>
                <w:color w:val="000000"/>
                <w:sz w:val="16"/>
                <w:szCs w:val="16"/>
              </w:rPr>
              <w:t>139</w:t>
            </w:r>
          </w:p>
        </w:tc>
        <w:tc>
          <w:tcPr>
            <w:tcW w:w="1276" w:type="dxa"/>
            <w:shd w:val="clear" w:color="auto" w:fill="auto"/>
            <w:vAlign w:val="center"/>
          </w:tcPr>
          <w:p w:rsidR="00CD1F2C" w:rsidRPr="00A37499" w:rsidRDefault="00CD1F2C" w:rsidP="002829D6">
            <w:pPr>
              <w:pStyle w:val="ListParagraph"/>
              <w:spacing w:before="60" w:after="60" w:line="240" w:lineRule="auto"/>
              <w:ind w:left="0"/>
              <w:contextualSpacing/>
              <w:jc w:val="center"/>
              <w:rPr>
                <w:rFonts w:ascii="Arial" w:hAnsi="Arial" w:cs="Arial"/>
                <w:b/>
                <w:sz w:val="16"/>
                <w:szCs w:val="16"/>
              </w:rPr>
            </w:pPr>
            <w:r>
              <w:rPr>
                <w:rFonts w:ascii="Arial" w:hAnsi="Arial" w:cs="Arial"/>
                <w:sz w:val="16"/>
                <w:szCs w:val="16"/>
              </w:rPr>
              <w:t>2</w:t>
            </w:r>
            <w:r w:rsidR="009D69DF">
              <w:rPr>
                <w:rFonts w:ascii="Arial" w:hAnsi="Arial" w:cs="Arial"/>
                <w:sz w:val="16"/>
                <w:szCs w:val="16"/>
              </w:rPr>
              <w:t>,</w:t>
            </w:r>
            <w:r>
              <w:rPr>
                <w:rFonts w:ascii="Arial" w:hAnsi="Arial" w:cs="Arial"/>
                <w:sz w:val="16"/>
                <w:szCs w:val="16"/>
              </w:rPr>
              <w:t>235</w:t>
            </w:r>
          </w:p>
        </w:tc>
        <w:tc>
          <w:tcPr>
            <w:tcW w:w="1468" w:type="dxa"/>
            <w:shd w:val="clear" w:color="auto" w:fill="auto"/>
            <w:vAlign w:val="bottom"/>
          </w:tcPr>
          <w:p w:rsidR="00CD1F2C" w:rsidRPr="00A37499" w:rsidRDefault="00CD1F2C" w:rsidP="0060399D">
            <w:pPr>
              <w:jc w:val="center"/>
              <w:rPr>
                <w:rFonts w:ascii="Arial" w:hAnsi="Arial" w:cs="Arial"/>
                <w:b/>
                <w:color w:val="000000"/>
                <w:sz w:val="16"/>
                <w:szCs w:val="16"/>
              </w:rPr>
            </w:pPr>
            <w:r w:rsidRPr="0060399D">
              <w:rPr>
                <w:rFonts w:ascii="Arial" w:hAnsi="Arial" w:cs="Arial"/>
                <w:color w:val="000000"/>
                <w:sz w:val="16"/>
                <w:szCs w:val="16"/>
              </w:rPr>
              <w:t>1</w:t>
            </w:r>
            <w:r w:rsidR="009D69DF">
              <w:rPr>
                <w:rFonts w:ascii="Arial" w:hAnsi="Arial" w:cs="Arial"/>
                <w:color w:val="000000"/>
                <w:sz w:val="16"/>
                <w:szCs w:val="16"/>
              </w:rPr>
              <w:t>,</w:t>
            </w:r>
            <w:r w:rsidRPr="0060399D">
              <w:rPr>
                <w:rFonts w:ascii="Arial" w:hAnsi="Arial" w:cs="Arial"/>
                <w:color w:val="000000"/>
                <w:sz w:val="16"/>
                <w:szCs w:val="16"/>
              </w:rPr>
              <w:t>139</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Obstetrics &amp; Gynaecology</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184</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138</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9D69DF">
              <w:rPr>
                <w:rFonts w:ascii="Arial" w:hAnsi="Arial" w:cs="Arial"/>
                <w:sz w:val="16"/>
                <w:szCs w:val="16"/>
              </w:rPr>
              <w:t>,</w:t>
            </w:r>
            <w:r>
              <w:rPr>
                <w:rFonts w:ascii="Arial" w:hAnsi="Arial" w:cs="Arial"/>
                <w:sz w:val="16"/>
                <w:szCs w:val="16"/>
              </w:rPr>
              <w:t>372</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1</w:t>
            </w:r>
            <w:r w:rsidR="009D69DF">
              <w:rPr>
                <w:rFonts w:ascii="Arial" w:hAnsi="Arial" w:cs="Arial"/>
                <w:color w:val="000000"/>
                <w:sz w:val="16"/>
                <w:szCs w:val="16"/>
              </w:rPr>
              <w:t>,</w:t>
            </w:r>
            <w:r w:rsidRPr="0060399D">
              <w:rPr>
                <w:rFonts w:ascii="Arial" w:hAnsi="Arial" w:cs="Arial"/>
                <w:color w:val="000000"/>
                <w:sz w:val="16"/>
                <w:szCs w:val="16"/>
              </w:rPr>
              <w:t>412</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Haematology</w:t>
            </w:r>
          </w:p>
        </w:tc>
        <w:tc>
          <w:tcPr>
            <w:tcW w:w="1417" w:type="dxa"/>
            <w:shd w:val="clear" w:color="auto" w:fill="auto"/>
            <w:vAlign w:val="center"/>
          </w:tcPr>
          <w:p w:rsidR="00CD1F2C"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93</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14</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779</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136</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Main X-ray</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4</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53</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37</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Maxillofacial</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43</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35</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396</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338</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Microbiology</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100</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76</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927</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755</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NICU</w:t>
            </w:r>
          </w:p>
        </w:tc>
        <w:tc>
          <w:tcPr>
            <w:tcW w:w="1417" w:type="dxa"/>
            <w:shd w:val="clear" w:color="auto" w:fill="auto"/>
            <w:vAlign w:val="center"/>
          </w:tcPr>
          <w:p w:rsidR="00CD1F2C"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57</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12</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656</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133</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 xml:space="preserve">MRI &amp; TGH </w:t>
            </w:r>
            <w:proofErr w:type="spellStart"/>
            <w:r w:rsidRPr="002829D6">
              <w:rPr>
                <w:rFonts w:ascii="Arial" w:hAnsi="Arial" w:cs="Arial"/>
                <w:sz w:val="16"/>
                <w:szCs w:val="16"/>
              </w:rPr>
              <w:t>Orthogeriatrics</w:t>
            </w:r>
            <w:proofErr w:type="spellEnd"/>
            <w:r w:rsidRPr="002829D6">
              <w:rPr>
                <w:rFonts w:ascii="Arial" w:hAnsi="Arial" w:cs="Arial"/>
                <w:sz w:val="16"/>
                <w:szCs w:val="16"/>
              </w:rPr>
              <w:t>, Orthopaedic and Trauma Surgery</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309</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91</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r w:rsidR="009D69DF">
              <w:rPr>
                <w:rFonts w:ascii="Arial" w:hAnsi="Arial" w:cs="Arial"/>
                <w:sz w:val="16"/>
                <w:szCs w:val="16"/>
              </w:rPr>
              <w:t>,</w:t>
            </w:r>
            <w:r>
              <w:rPr>
                <w:rFonts w:ascii="Arial" w:hAnsi="Arial" w:cs="Arial"/>
                <w:sz w:val="16"/>
                <w:szCs w:val="16"/>
              </w:rPr>
              <w:t>750</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820</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sidRPr="00417520">
              <w:rPr>
                <w:rFonts w:ascii="Arial" w:hAnsi="Arial" w:cs="Arial"/>
                <w:sz w:val="16"/>
                <w:szCs w:val="16"/>
              </w:rPr>
              <w:t>Neurology</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sidRPr="00417520">
              <w:rPr>
                <w:rFonts w:ascii="Arial" w:hAnsi="Arial" w:cs="Arial"/>
                <w:sz w:val="16"/>
                <w:szCs w:val="16"/>
              </w:rPr>
              <w:t>11</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417520">
              <w:rPr>
                <w:rFonts w:ascii="Arial" w:hAnsi="Arial" w:cs="Arial"/>
                <w:color w:val="000000"/>
                <w:sz w:val="16"/>
                <w:szCs w:val="16"/>
              </w:rPr>
              <w:t>48</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sidRPr="00417520">
              <w:rPr>
                <w:rFonts w:ascii="Arial" w:hAnsi="Arial" w:cs="Arial"/>
                <w:sz w:val="16"/>
                <w:szCs w:val="16"/>
              </w:rPr>
              <w:t>90</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417520">
              <w:rPr>
                <w:rFonts w:ascii="Arial" w:hAnsi="Arial" w:cs="Arial"/>
                <w:color w:val="000000"/>
                <w:sz w:val="16"/>
                <w:szCs w:val="16"/>
              </w:rPr>
              <w:t>349</w:t>
            </w:r>
          </w:p>
        </w:tc>
      </w:tr>
      <w:tr w:rsidR="00CD1F2C" w:rsidRPr="002829D6" w:rsidTr="00216F3D">
        <w:tc>
          <w:tcPr>
            <w:tcW w:w="2442" w:type="dxa"/>
            <w:gridSpan w:val="2"/>
            <w:shd w:val="clear" w:color="auto" w:fill="FFFFFF" w:themeFill="background1"/>
            <w:vAlign w:val="center"/>
          </w:tcPr>
          <w:p w:rsidR="00CD1F2C" w:rsidRPr="00417520"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Neurophysiology</w:t>
            </w:r>
          </w:p>
        </w:tc>
        <w:tc>
          <w:tcPr>
            <w:tcW w:w="1417" w:type="dxa"/>
            <w:shd w:val="clear" w:color="auto" w:fill="FFFFFF" w:themeFill="background1"/>
            <w:vAlign w:val="center"/>
          </w:tcPr>
          <w:p w:rsidR="00CD1F2C" w:rsidRPr="00417520"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38</w:t>
            </w:r>
          </w:p>
        </w:tc>
        <w:tc>
          <w:tcPr>
            <w:tcW w:w="1559" w:type="dxa"/>
            <w:shd w:val="clear" w:color="auto" w:fill="FFFFFF" w:themeFill="background1"/>
            <w:vAlign w:val="center"/>
          </w:tcPr>
          <w:p w:rsidR="00CD1F2C" w:rsidRPr="00417520" w:rsidRDefault="00CD1F2C" w:rsidP="00A01251">
            <w:pPr>
              <w:jc w:val="center"/>
              <w:rPr>
                <w:rFonts w:ascii="Arial" w:hAnsi="Arial" w:cs="Arial"/>
                <w:color w:val="000000"/>
                <w:sz w:val="16"/>
                <w:szCs w:val="16"/>
              </w:rPr>
            </w:pPr>
            <w:r w:rsidRPr="00A67F8A">
              <w:rPr>
                <w:rFonts w:ascii="Arial" w:hAnsi="Arial" w:cs="Arial"/>
                <w:color w:val="000000"/>
                <w:sz w:val="16"/>
                <w:szCs w:val="16"/>
              </w:rPr>
              <w:t>33</w:t>
            </w:r>
          </w:p>
        </w:tc>
        <w:tc>
          <w:tcPr>
            <w:tcW w:w="1276" w:type="dxa"/>
            <w:shd w:val="clear" w:color="auto" w:fill="FFFFFF" w:themeFill="background1"/>
            <w:vAlign w:val="center"/>
          </w:tcPr>
          <w:p w:rsidR="00CD1F2C" w:rsidRPr="00417520"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275</w:t>
            </w:r>
          </w:p>
        </w:tc>
        <w:tc>
          <w:tcPr>
            <w:tcW w:w="1468" w:type="dxa"/>
            <w:shd w:val="clear" w:color="auto" w:fill="FFFFFF" w:themeFill="background1"/>
            <w:vAlign w:val="bottom"/>
          </w:tcPr>
          <w:p w:rsidR="00CD1F2C" w:rsidRPr="00417520" w:rsidRDefault="00CD1F2C" w:rsidP="0060399D">
            <w:pPr>
              <w:jc w:val="center"/>
              <w:rPr>
                <w:rFonts w:ascii="Arial" w:hAnsi="Arial" w:cs="Arial"/>
                <w:color w:val="000000"/>
                <w:sz w:val="16"/>
                <w:szCs w:val="16"/>
              </w:rPr>
            </w:pPr>
            <w:r w:rsidRPr="0060399D">
              <w:rPr>
                <w:rFonts w:ascii="Arial" w:hAnsi="Arial" w:cs="Arial"/>
                <w:color w:val="000000"/>
                <w:sz w:val="16"/>
                <w:szCs w:val="16"/>
              </w:rPr>
              <w:t>240</w:t>
            </w:r>
          </w:p>
        </w:tc>
      </w:tr>
      <w:tr w:rsidR="00CD1F2C" w:rsidRPr="002829D6" w:rsidTr="00417520">
        <w:tc>
          <w:tcPr>
            <w:tcW w:w="2442" w:type="dxa"/>
            <w:gridSpan w:val="2"/>
            <w:shd w:val="clear" w:color="auto" w:fill="FFFFFF" w:themeFill="background1"/>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sidRPr="004A160B">
              <w:rPr>
                <w:rFonts w:ascii="Arial" w:hAnsi="Arial" w:cs="Arial"/>
                <w:sz w:val="16"/>
                <w:szCs w:val="16"/>
              </w:rPr>
              <w:t>Trauma &amp; Orthopaedics</w:t>
            </w:r>
          </w:p>
        </w:tc>
        <w:tc>
          <w:tcPr>
            <w:tcW w:w="1417" w:type="dxa"/>
            <w:shd w:val="clear" w:color="auto" w:fill="FFFFFF" w:themeFill="background1"/>
            <w:vAlign w:val="center"/>
          </w:tcPr>
          <w:p w:rsidR="00CD1F2C" w:rsidRDefault="00CD1F2C" w:rsidP="002829D6">
            <w:pPr>
              <w:pStyle w:val="ListParagraph"/>
              <w:spacing w:before="60" w:after="60" w:line="240" w:lineRule="auto"/>
              <w:ind w:left="0"/>
              <w:contextualSpacing/>
              <w:jc w:val="center"/>
              <w:rPr>
                <w:rFonts w:ascii="Arial" w:hAnsi="Arial" w:cs="Arial"/>
                <w:sz w:val="16"/>
                <w:szCs w:val="16"/>
              </w:rPr>
            </w:pPr>
            <w:r w:rsidRPr="004A160B">
              <w:rPr>
                <w:rFonts w:ascii="Arial" w:hAnsi="Arial" w:cs="Arial"/>
                <w:sz w:val="16"/>
                <w:szCs w:val="16"/>
              </w:rPr>
              <w:t>217</w:t>
            </w:r>
          </w:p>
        </w:tc>
        <w:tc>
          <w:tcPr>
            <w:tcW w:w="1559" w:type="dxa"/>
            <w:shd w:val="clear" w:color="auto" w:fill="FFFFFF" w:themeFill="background1"/>
            <w:vAlign w:val="center"/>
          </w:tcPr>
          <w:p w:rsidR="00CD1F2C" w:rsidRPr="00A67F8A" w:rsidRDefault="00CD1F2C" w:rsidP="00A01251">
            <w:pPr>
              <w:jc w:val="center"/>
              <w:rPr>
                <w:rFonts w:ascii="Arial" w:hAnsi="Arial" w:cs="Arial"/>
                <w:color w:val="000000"/>
                <w:sz w:val="16"/>
                <w:szCs w:val="16"/>
              </w:rPr>
            </w:pPr>
            <w:r w:rsidRPr="004A160B">
              <w:rPr>
                <w:rFonts w:ascii="Arial" w:hAnsi="Arial" w:cs="Arial"/>
                <w:color w:val="000000"/>
                <w:sz w:val="16"/>
                <w:szCs w:val="16"/>
              </w:rPr>
              <w:t>18</w:t>
            </w:r>
          </w:p>
        </w:tc>
        <w:tc>
          <w:tcPr>
            <w:tcW w:w="1276" w:type="dxa"/>
            <w:shd w:val="clear" w:color="auto" w:fill="FFFFFF" w:themeFill="background1"/>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sidRPr="004A160B">
              <w:rPr>
                <w:rFonts w:ascii="Arial" w:hAnsi="Arial" w:cs="Arial"/>
                <w:sz w:val="16"/>
                <w:szCs w:val="16"/>
              </w:rPr>
              <w:t>2</w:t>
            </w:r>
            <w:r w:rsidR="009D69DF">
              <w:rPr>
                <w:rFonts w:ascii="Arial" w:hAnsi="Arial" w:cs="Arial"/>
                <w:sz w:val="16"/>
                <w:szCs w:val="16"/>
              </w:rPr>
              <w:t>,</w:t>
            </w:r>
            <w:r w:rsidRPr="004A160B">
              <w:rPr>
                <w:rFonts w:ascii="Arial" w:hAnsi="Arial" w:cs="Arial"/>
                <w:sz w:val="16"/>
                <w:szCs w:val="16"/>
              </w:rPr>
              <w:t>030</w:t>
            </w:r>
          </w:p>
        </w:tc>
        <w:tc>
          <w:tcPr>
            <w:tcW w:w="1468" w:type="dxa"/>
            <w:shd w:val="clear" w:color="auto" w:fill="FFFFFF" w:themeFill="background1"/>
            <w:vAlign w:val="bottom"/>
          </w:tcPr>
          <w:p w:rsidR="00CD1F2C" w:rsidRPr="0060399D" w:rsidRDefault="00CD1F2C" w:rsidP="0060399D">
            <w:pPr>
              <w:jc w:val="center"/>
              <w:rPr>
                <w:rFonts w:ascii="Arial" w:hAnsi="Arial" w:cs="Arial"/>
                <w:color w:val="000000"/>
                <w:sz w:val="16"/>
                <w:szCs w:val="16"/>
              </w:rPr>
            </w:pPr>
            <w:r w:rsidRPr="004A160B">
              <w:rPr>
                <w:rFonts w:ascii="Arial" w:hAnsi="Arial" w:cs="Arial"/>
                <w:color w:val="000000"/>
                <w:sz w:val="16"/>
                <w:szCs w:val="16"/>
              </w:rPr>
              <w:t>206</w:t>
            </w:r>
          </w:p>
        </w:tc>
      </w:tr>
      <w:tr w:rsidR="00CD1F2C" w:rsidRPr="002829D6" w:rsidTr="00417520">
        <w:tc>
          <w:tcPr>
            <w:tcW w:w="2442" w:type="dxa"/>
            <w:gridSpan w:val="2"/>
            <w:shd w:val="clear" w:color="auto" w:fill="FFFFFF" w:themeFill="background1"/>
            <w:vAlign w:val="center"/>
          </w:tcPr>
          <w:p w:rsidR="00CD1F2C" w:rsidRPr="004A160B" w:rsidRDefault="00CD1F2C"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Paediatrics</w:t>
            </w:r>
          </w:p>
        </w:tc>
        <w:tc>
          <w:tcPr>
            <w:tcW w:w="1417" w:type="dxa"/>
            <w:shd w:val="clear" w:color="auto" w:fill="FFFFFF" w:themeFill="background1"/>
            <w:vAlign w:val="center"/>
          </w:tcPr>
          <w:p w:rsidR="00CD1F2C" w:rsidRPr="004A160B"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 xml:space="preserve">519 </w:t>
            </w:r>
          </w:p>
        </w:tc>
        <w:tc>
          <w:tcPr>
            <w:tcW w:w="1559" w:type="dxa"/>
            <w:shd w:val="clear" w:color="auto" w:fill="FFFFFF" w:themeFill="background1"/>
            <w:vAlign w:val="center"/>
          </w:tcPr>
          <w:p w:rsidR="00CD1F2C" w:rsidRPr="004A160B" w:rsidRDefault="00CD1F2C" w:rsidP="00A01251">
            <w:pPr>
              <w:jc w:val="center"/>
              <w:rPr>
                <w:rFonts w:ascii="Arial" w:hAnsi="Arial" w:cs="Arial"/>
                <w:color w:val="000000"/>
                <w:sz w:val="16"/>
                <w:szCs w:val="16"/>
              </w:rPr>
            </w:pPr>
            <w:r w:rsidRPr="00A67F8A">
              <w:rPr>
                <w:rFonts w:ascii="Arial" w:hAnsi="Arial" w:cs="Arial"/>
                <w:color w:val="000000"/>
                <w:sz w:val="16"/>
                <w:szCs w:val="16"/>
              </w:rPr>
              <w:t>678</w:t>
            </w:r>
          </w:p>
        </w:tc>
        <w:tc>
          <w:tcPr>
            <w:tcW w:w="1276" w:type="dxa"/>
            <w:shd w:val="clear" w:color="auto" w:fill="FFFFFF" w:themeFill="background1"/>
            <w:vAlign w:val="center"/>
          </w:tcPr>
          <w:p w:rsidR="00CD1F2C" w:rsidRPr="004A160B"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r w:rsidR="009D69DF">
              <w:rPr>
                <w:rFonts w:ascii="Arial" w:hAnsi="Arial" w:cs="Arial"/>
                <w:sz w:val="16"/>
                <w:szCs w:val="16"/>
              </w:rPr>
              <w:t>,</w:t>
            </w:r>
            <w:r>
              <w:rPr>
                <w:rFonts w:ascii="Arial" w:hAnsi="Arial" w:cs="Arial"/>
                <w:sz w:val="16"/>
                <w:szCs w:val="16"/>
              </w:rPr>
              <w:t>913</w:t>
            </w:r>
          </w:p>
        </w:tc>
        <w:tc>
          <w:tcPr>
            <w:tcW w:w="1468" w:type="dxa"/>
            <w:shd w:val="clear" w:color="auto" w:fill="FFFFFF" w:themeFill="background1"/>
            <w:vAlign w:val="bottom"/>
          </w:tcPr>
          <w:p w:rsidR="00CD1F2C" w:rsidRPr="004A160B" w:rsidRDefault="00CD1F2C" w:rsidP="0060399D">
            <w:pPr>
              <w:jc w:val="center"/>
              <w:rPr>
                <w:rFonts w:ascii="Arial" w:hAnsi="Arial" w:cs="Arial"/>
                <w:color w:val="000000"/>
                <w:sz w:val="16"/>
                <w:szCs w:val="16"/>
              </w:rPr>
            </w:pPr>
            <w:r w:rsidRPr="0060399D">
              <w:rPr>
                <w:rFonts w:ascii="Arial" w:hAnsi="Arial" w:cs="Arial"/>
                <w:color w:val="000000"/>
                <w:sz w:val="16"/>
                <w:szCs w:val="16"/>
              </w:rPr>
              <w:t>6</w:t>
            </w:r>
            <w:r w:rsidR="009D69DF">
              <w:rPr>
                <w:rFonts w:ascii="Arial" w:hAnsi="Arial" w:cs="Arial"/>
                <w:color w:val="000000"/>
                <w:sz w:val="16"/>
                <w:szCs w:val="16"/>
              </w:rPr>
              <w:t>,</w:t>
            </w:r>
            <w:r w:rsidRPr="0060399D">
              <w:rPr>
                <w:rFonts w:ascii="Arial" w:hAnsi="Arial" w:cs="Arial"/>
                <w:color w:val="000000"/>
                <w:sz w:val="16"/>
                <w:szCs w:val="16"/>
              </w:rPr>
              <w:t>583</w:t>
            </w:r>
          </w:p>
        </w:tc>
      </w:tr>
      <w:tr w:rsidR="00CD1F2C" w:rsidRPr="002829D6" w:rsidTr="00216F3D">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RMCH CAMS</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85</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80</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9D69DF">
              <w:rPr>
                <w:rFonts w:ascii="Arial" w:hAnsi="Arial" w:cs="Arial"/>
                <w:sz w:val="16"/>
                <w:szCs w:val="16"/>
              </w:rPr>
              <w:t>,</w:t>
            </w:r>
            <w:r>
              <w:rPr>
                <w:rFonts w:ascii="Arial" w:hAnsi="Arial" w:cs="Arial"/>
                <w:sz w:val="16"/>
                <w:szCs w:val="16"/>
              </w:rPr>
              <w:t>617</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1</w:t>
            </w:r>
            <w:r w:rsidR="009D69DF">
              <w:rPr>
                <w:rFonts w:ascii="Arial" w:hAnsi="Arial" w:cs="Arial"/>
                <w:color w:val="000000"/>
                <w:sz w:val="16"/>
                <w:szCs w:val="16"/>
              </w:rPr>
              <w:t>,</w:t>
            </w:r>
            <w:r w:rsidRPr="0060399D">
              <w:rPr>
                <w:rFonts w:ascii="Arial" w:hAnsi="Arial" w:cs="Arial"/>
                <w:color w:val="000000"/>
                <w:sz w:val="16"/>
                <w:szCs w:val="16"/>
              </w:rPr>
              <w:t>488</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PICU</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219</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32</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r w:rsidR="009D69DF">
              <w:rPr>
                <w:rFonts w:ascii="Arial" w:hAnsi="Arial" w:cs="Arial"/>
                <w:sz w:val="16"/>
                <w:szCs w:val="16"/>
              </w:rPr>
              <w:t>,</w:t>
            </w:r>
            <w:r>
              <w:rPr>
                <w:rFonts w:ascii="Arial" w:hAnsi="Arial" w:cs="Arial"/>
                <w:sz w:val="16"/>
                <w:szCs w:val="16"/>
              </w:rPr>
              <w:t>431</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315</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Surgery</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80</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158</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937</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1</w:t>
            </w:r>
            <w:r w:rsidR="009D69DF">
              <w:rPr>
                <w:rFonts w:ascii="Arial" w:hAnsi="Arial" w:cs="Arial"/>
                <w:color w:val="000000"/>
                <w:sz w:val="16"/>
                <w:szCs w:val="16"/>
              </w:rPr>
              <w:t>,</w:t>
            </w:r>
            <w:r w:rsidRPr="0060399D">
              <w:rPr>
                <w:rFonts w:ascii="Arial" w:hAnsi="Arial" w:cs="Arial"/>
                <w:color w:val="000000"/>
                <w:sz w:val="16"/>
                <w:szCs w:val="16"/>
              </w:rPr>
              <w:t>798</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Thoracic</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186</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254</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9D69DF">
              <w:rPr>
                <w:rFonts w:ascii="Arial" w:hAnsi="Arial" w:cs="Arial"/>
                <w:sz w:val="16"/>
                <w:szCs w:val="16"/>
              </w:rPr>
              <w:t>,</w:t>
            </w:r>
            <w:r>
              <w:rPr>
                <w:rFonts w:ascii="Arial" w:hAnsi="Arial" w:cs="Arial"/>
                <w:sz w:val="16"/>
                <w:szCs w:val="16"/>
              </w:rPr>
              <w:t>573</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2</w:t>
            </w:r>
            <w:r w:rsidR="009D69DF">
              <w:rPr>
                <w:rFonts w:ascii="Arial" w:hAnsi="Arial" w:cs="Arial"/>
                <w:color w:val="000000"/>
                <w:sz w:val="16"/>
                <w:szCs w:val="16"/>
              </w:rPr>
              <w:t>,</w:t>
            </w:r>
            <w:r w:rsidRPr="0060399D">
              <w:rPr>
                <w:rFonts w:ascii="Arial" w:hAnsi="Arial" w:cs="Arial"/>
                <w:color w:val="000000"/>
                <w:sz w:val="16"/>
                <w:szCs w:val="16"/>
              </w:rPr>
              <w:t>446</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Medicine ( Trafford)</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402</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43</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r w:rsidR="009D69DF">
              <w:rPr>
                <w:rFonts w:ascii="Arial" w:hAnsi="Arial" w:cs="Arial"/>
                <w:sz w:val="16"/>
                <w:szCs w:val="16"/>
              </w:rPr>
              <w:t>,</w:t>
            </w:r>
            <w:r>
              <w:rPr>
                <w:rFonts w:ascii="Arial" w:hAnsi="Arial" w:cs="Arial"/>
                <w:sz w:val="16"/>
                <w:szCs w:val="16"/>
              </w:rPr>
              <w:t>679</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422</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Urology</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99</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Pr>
                <w:rFonts w:ascii="Arial" w:hAnsi="Arial" w:cs="Arial"/>
                <w:color w:val="000000"/>
                <w:sz w:val="16"/>
                <w:szCs w:val="16"/>
              </w:rPr>
              <w:t>31</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9D69DF">
              <w:rPr>
                <w:rFonts w:ascii="Arial" w:hAnsi="Arial" w:cs="Arial"/>
                <w:sz w:val="16"/>
                <w:szCs w:val="16"/>
              </w:rPr>
              <w:t>,</w:t>
            </w:r>
            <w:r>
              <w:rPr>
                <w:rFonts w:ascii="Arial" w:hAnsi="Arial" w:cs="Arial"/>
                <w:sz w:val="16"/>
                <w:szCs w:val="16"/>
              </w:rPr>
              <w:t>056</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Pr>
                <w:rFonts w:ascii="Arial" w:hAnsi="Arial" w:cs="Arial"/>
                <w:color w:val="000000"/>
                <w:sz w:val="16"/>
                <w:szCs w:val="16"/>
              </w:rPr>
              <w:t>336</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INRU (TGH)</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124</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0</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9D69DF">
              <w:rPr>
                <w:rFonts w:ascii="Arial" w:hAnsi="Arial" w:cs="Arial"/>
                <w:sz w:val="16"/>
                <w:szCs w:val="16"/>
              </w:rPr>
              <w:t>,</w:t>
            </w:r>
            <w:r>
              <w:rPr>
                <w:rFonts w:ascii="Arial" w:hAnsi="Arial" w:cs="Arial"/>
                <w:sz w:val="16"/>
                <w:szCs w:val="16"/>
              </w:rPr>
              <w:t>015</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0</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Resuscitation</w:t>
            </w:r>
          </w:p>
        </w:tc>
        <w:tc>
          <w:tcPr>
            <w:tcW w:w="1417"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28</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73</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163</w:t>
            </w:r>
          </w:p>
        </w:tc>
      </w:tr>
      <w:tr w:rsidR="00CD1F2C" w:rsidRPr="002829D6" w:rsidTr="00A01251">
        <w:tc>
          <w:tcPr>
            <w:tcW w:w="2442" w:type="dxa"/>
            <w:gridSpan w:val="2"/>
            <w:shd w:val="clear" w:color="auto" w:fill="auto"/>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Wythenshawe x-ray</w:t>
            </w:r>
          </w:p>
        </w:tc>
        <w:tc>
          <w:tcPr>
            <w:tcW w:w="1417" w:type="dxa"/>
            <w:shd w:val="clear" w:color="auto" w:fill="auto"/>
            <w:vAlign w:val="center"/>
          </w:tcPr>
          <w:p w:rsidR="00CD1F2C"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28</w:t>
            </w:r>
          </w:p>
        </w:tc>
        <w:tc>
          <w:tcPr>
            <w:tcW w:w="1559" w:type="dxa"/>
            <w:shd w:val="clear" w:color="auto" w:fill="auto"/>
            <w:vAlign w:val="center"/>
          </w:tcPr>
          <w:p w:rsidR="00CD1F2C" w:rsidRPr="00A67F8A" w:rsidRDefault="00CD1F2C" w:rsidP="00A01251">
            <w:pPr>
              <w:jc w:val="center"/>
              <w:rPr>
                <w:rFonts w:ascii="Arial" w:hAnsi="Arial" w:cs="Arial"/>
                <w:color w:val="000000"/>
                <w:sz w:val="16"/>
                <w:szCs w:val="16"/>
              </w:rPr>
            </w:pPr>
            <w:r w:rsidRPr="00A67F8A">
              <w:rPr>
                <w:rFonts w:ascii="Arial" w:hAnsi="Arial" w:cs="Arial"/>
                <w:color w:val="000000"/>
                <w:sz w:val="16"/>
                <w:szCs w:val="16"/>
              </w:rPr>
              <w:t>0</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163</w:t>
            </w:r>
          </w:p>
        </w:tc>
        <w:tc>
          <w:tcPr>
            <w:tcW w:w="1468" w:type="dxa"/>
            <w:shd w:val="clear" w:color="auto" w:fill="auto"/>
            <w:vAlign w:val="bottom"/>
          </w:tcPr>
          <w:p w:rsidR="00CD1F2C" w:rsidRPr="0060399D" w:rsidRDefault="00CD1F2C" w:rsidP="0060399D">
            <w:pPr>
              <w:jc w:val="center"/>
              <w:rPr>
                <w:rFonts w:ascii="Arial" w:hAnsi="Arial" w:cs="Arial"/>
                <w:color w:val="000000"/>
                <w:sz w:val="16"/>
                <w:szCs w:val="16"/>
              </w:rPr>
            </w:pPr>
            <w:r w:rsidRPr="0060399D">
              <w:rPr>
                <w:rFonts w:ascii="Arial" w:hAnsi="Arial" w:cs="Arial"/>
                <w:color w:val="000000"/>
                <w:sz w:val="16"/>
                <w:szCs w:val="16"/>
              </w:rPr>
              <w:t>0</w:t>
            </w:r>
          </w:p>
        </w:tc>
      </w:tr>
      <w:tr w:rsidR="00CD1F2C" w:rsidRPr="002829D6" w:rsidTr="002C246E">
        <w:tc>
          <w:tcPr>
            <w:tcW w:w="2442" w:type="dxa"/>
            <w:gridSpan w:val="2"/>
            <w:shd w:val="clear" w:color="auto" w:fill="FFFFFF" w:themeFill="background1"/>
            <w:vAlign w:val="center"/>
          </w:tcPr>
          <w:p w:rsidR="00CD1F2C" w:rsidRPr="002829D6" w:rsidRDefault="00CD1F2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Area not specified</w:t>
            </w:r>
          </w:p>
        </w:tc>
        <w:tc>
          <w:tcPr>
            <w:tcW w:w="1417" w:type="dxa"/>
            <w:shd w:val="clear" w:color="auto" w:fill="FFFFFF" w:themeFill="background1"/>
            <w:vAlign w:val="center"/>
          </w:tcPr>
          <w:p w:rsidR="00CD1F2C" w:rsidRPr="002C246E" w:rsidRDefault="00E1065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1,736</w:t>
            </w:r>
          </w:p>
        </w:tc>
        <w:tc>
          <w:tcPr>
            <w:tcW w:w="1559" w:type="dxa"/>
            <w:shd w:val="clear" w:color="auto" w:fill="FFFFFF" w:themeFill="background1"/>
            <w:vAlign w:val="center"/>
          </w:tcPr>
          <w:p w:rsidR="00CD1F2C" w:rsidRPr="002C246E" w:rsidRDefault="00E1065A" w:rsidP="00A01251">
            <w:pPr>
              <w:jc w:val="center"/>
              <w:rPr>
                <w:rFonts w:ascii="Arial" w:hAnsi="Arial" w:cs="Arial"/>
                <w:color w:val="000000"/>
                <w:sz w:val="16"/>
                <w:szCs w:val="16"/>
              </w:rPr>
            </w:pPr>
            <w:r>
              <w:rPr>
                <w:rFonts w:ascii="Arial" w:hAnsi="Arial" w:cs="Arial"/>
                <w:bCs/>
                <w:color w:val="000000"/>
                <w:sz w:val="16"/>
                <w:szCs w:val="16"/>
              </w:rPr>
              <w:t>190</w:t>
            </w:r>
          </w:p>
        </w:tc>
        <w:tc>
          <w:tcPr>
            <w:tcW w:w="1276" w:type="dxa"/>
            <w:shd w:val="clear" w:color="auto" w:fill="FFFFFF" w:themeFill="background1"/>
            <w:vAlign w:val="center"/>
          </w:tcPr>
          <w:p w:rsidR="00CD1F2C" w:rsidRPr="002C246E" w:rsidRDefault="00E1065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17,729</w:t>
            </w:r>
          </w:p>
        </w:tc>
        <w:tc>
          <w:tcPr>
            <w:tcW w:w="1468" w:type="dxa"/>
            <w:shd w:val="clear" w:color="auto" w:fill="FFFFFF" w:themeFill="background1"/>
            <w:vAlign w:val="bottom"/>
          </w:tcPr>
          <w:p w:rsidR="00CD1F2C" w:rsidRPr="002C246E" w:rsidRDefault="00E1065A" w:rsidP="0060399D">
            <w:pPr>
              <w:jc w:val="center"/>
              <w:rPr>
                <w:rFonts w:ascii="Arial" w:hAnsi="Arial" w:cs="Arial"/>
                <w:color w:val="000000"/>
                <w:sz w:val="16"/>
                <w:szCs w:val="16"/>
              </w:rPr>
            </w:pPr>
            <w:r>
              <w:rPr>
                <w:rFonts w:ascii="Arial" w:hAnsi="Arial" w:cs="Arial"/>
                <w:color w:val="000000"/>
                <w:sz w:val="16"/>
                <w:szCs w:val="16"/>
              </w:rPr>
              <w:t>1,997</w:t>
            </w:r>
          </w:p>
        </w:tc>
      </w:tr>
      <w:tr w:rsidR="00CD1F2C" w:rsidRPr="002829D6" w:rsidTr="002C246E">
        <w:tc>
          <w:tcPr>
            <w:tcW w:w="2442" w:type="dxa"/>
            <w:gridSpan w:val="2"/>
            <w:shd w:val="clear" w:color="auto" w:fill="auto"/>
            <w:vAlign w:val="center"/>
          </w:tcPr>
          <w:p w:rsidR="00CD1F2C" w:rsidRDefault="00CD1F2C" w:rsidP="002829D6">
            <w:pPr>
              <w:pStyle w:val="ListParagraph"/>
              <w:spacing w:before="60" w:after="60" w:line="240" w:lineRule="auto"/>
              <w:ind w:left="0"/>
              <w:contextualSpacing/>
              <w:rPr>
                <w:rFonts w:ascii="Arial" w:hAnsi="Arial" w:cs="Arial"/>
                <w:sz w:val="16"/>
                <w:szCs w:val="16"/>
              </w:rPr>
            </w:pPr>
            <w:r w:rsidRPr="002829D6">
              <w:rPr>
                <w:rFonts w:ascii="Arial" w:hAnsi="Arial" w:cs="Arial"/>
                <w:b/>
                <w:sz w:val="16"/>
                <w:szCs w:val="16"/>
              </w:rPr>
              <w:t>Total</w:t>
            </w:r>
          </w:p>
        </w:tc>
        <w:tc>
          <w:tcPr>
            <w:tcW w:w="1417" w:type="dxa"/>
            <w:shd w:val="clear" w:color="auto" w:fill="auto"/>
            <w:vAlign w:val="center"/>
          </w:tcPr>
          <w:p w:rsidR="00CD1F2C"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b/>
                <w:sz w:val="16"/>
                <w:szCs w:val="16"/>
              </w:rPr>
              <w:t>8,682</w:t>
            </w:r>
          </w:p>
        </w:tc>
        <w:tc>
          <w:tcPr>
            <w:tcW w:w="1559" w:type="dxa"/>
            <w:shd w:val="clear" w:color="auto" w:fill="auto"/>
            <w:vAlign w:val="center"/>
          </w:tcPr>
          <w:p w:rsidR="00CD1F2C" w:rsidRPr="00A67F8A" w:rsidRDefault="00CD1F2C" w:rsidP="002C246E">
            <w:pPr>
              <w:jc w:val="center"/>
              <w:rPr>
                <w:rFonts w:ascii="Arial" w:hAnsi="Arial" w:cs="Arial"/>
                <w:b/>
                <w:bCs/>
                <w:color w:val="000000"/>
                <w:sz w:val="16"/>
                <w:szCs w:val="16"/>
              </w:rPr>
            </w:pPr>
            <w:r>
              <w:rPr>
                <w:rFonts w:ascii="Arial" w:hAnsi="Arial" w:cs="Arial"/>
                <w:b/>
                <w:sz w:val="16"/>
                <w:szCs w:val="16"/>
              </w:rPr>
              <w:t>6,472</w:t>
            </w:r>
          </w:p>
        </w:tc>
        <w:tc>
          <w:tcPr>
            <w:tcW w:w="1276" w:type="dxa"/>
            <w:shd w:val="clear" w:color="auto" w:fill="auto"/>
            <w:vAlign w:val="center"/>
          </w:tcPr>
          <w:p w:rsidR="00CD1F2C" w:rsidRPr="002829D6" w:rsidRDefault="00CD1F2C" w:rsidP="002829D6">
            <w:pPr>
              <w:pStyle w:val="ListParagraph"/>
              <w:spacing w:before="60" w:after="60" w:line="240" w:lineRule="auto"/>
              <w:ind w:left="0"/>
              <w:contextualSpacing/>
              <w:jc w:val="center"/>
              <w:rPr>
                <w:rFonts w:ascii="Arial" w:hAnsi="Arial" w:cs="Arial"/>
                <w:sz w:val="16"/>
                <w:szCs w:val="16"/>
              </w:rPr>
            </w:pPr>
            <w:r>
              <w:rPr>
                <w:rFonts w:ascii="Arial" w:hAnsi="Arial" w:cs="Arial"/>
                <w:b/>
                <w:sz w:val="16"/>
                <w:szCs w:val="16"/>
              </w:rPr>
              <w:t>83,888</w:t>
            </w:r>
          </w:p>
        </w:tc>
        <w:tc>
          <w:tcPr>
            <w:tcW w:w="1468" w:type="dxa"/>
            <w:shd w:val="clear" w:color="auto" w:fill="auto"/>
            <w:vAlign w:val="center"/>
          </w:tcPr>
          <w:p w:rsidR="00CD1F2C" w:rsidRPr="002C246E" w:rsidRDefault="002C246E" w:rsidP="002C246E">
            <w:pPr>
              <w:jc w:val="center"/>
              <w:rPr>
                <w:rFonts w:ascii="Arial" w:hAnsi="Arial" w:cs="Arial"/>
                <w:b/>
                <w:color w:val="000000"/>
                <w:sz w:val="16"/>
                <w:szCs w:val="16"/>
              </w:rPr>
            </w:pPr>
            <w:r w:rsidRPr="002C246E">
              <w:rPr>
                <w:rFonts w:ascii="Arial" w:hAnsi="Arial" w:cs="Arial"/>
                <w:b/>
                <w:color w:val="000000"/>
                <w:sz w:val="16"/>
                <w:szCs w:val="16"/>
              </w:rPr>
              <w:t>61</w:t>
            </w:r>
            <w:r w:rsidR="009D69DF">
              <w:rPr>
                <w:rFonts w:ascii="Arial" w:hAnsi="Arial" w:cs="Arial"/>
                <w:b/>
                <w:color w:val="000000"/>
                <w:sz w:val="16"/>
                <w:szCs w:val="16"/>
              </w:rPr>
              <w:t>,</w:t>
            </w:r>
            <w:r w:rsidRPr="002C246E">
              <w:rPr>
                <w:rFonts w:ascii="Arial" w:hAnsi="Arial" w:cs="Arial"/>
                <w:b/>
                <w:color w:val="000000"/>
                <w:sz w:val="16"/>
                <w:szCs w:val="16"/>
              </w:rPr>
              <w:t>339</w:t>
            </w:r>
          </w:p>
        </w:tc>
      </w:tr>
    </w:tbl>
    <w:p w:rsidR="00D00542" w:rsidRDefault="00D00542"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Default="00516EA1" w:rsidP="00516EA1">
      <w:pPr>
        <w:contextualSpacing/>
        <w:jc w:val="both"/>
        <w:rPr>
          <w:rFonts w:ascii="Arial" w:hAnsi="Arial" w:cs="Arial"/>
          <w:b/>
          <w:sz w:val="21"/>
          <w:szCs w:val="21"/>
        </w:rPr>
      </w:pPr>
    </w:p>
    <w:p w:rsidR="00516EA1" w:rsidRPr="00516EA1" w:rsidRDefault="00516EA1" w:rsidP="00516EA1">
      <w:pPr>
        <w:contextualSpacing/>
        <w:jc w:val="both"/>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43"/>
        <w:gridCol w:w="1417"/>
        <w:gridCol w:w="1559"/>
        <w:gridCol w:w="1276"/>
        <w:gridCol w:w="1468"/>
      </w:tblGrid>
      <w:tr w:rsidR="00EF4CFC" w:rsidRPr="002829D6" w:rsidTr="002829D6">
        <w:tc>
          <w:tcPr>
            <w:tcW w:w="599" w:type="dxa"/>
            <w:tcBorders>
              <w:right w:val="nil"/>
            </w:tcBorders>
            <w:shd w:val="clear" w:color="auto" w:fill="BFBFBF"/>
          </w:tcPr>
          <w:p w:rsidR="00EF4CFC" w:rsidRPr="002829D6" w:rsidRDefault="00EF4CFC"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lastRenderedPageBreak/>
              <w:t>5.2</w:t>
            </w:r>
          </w:p>
        </w:tc>
        <w:tc>
          <w:tcPr>
            <w:tcW w:w="7563" w:type="dxa"/>
            <w:gridSpan w:val="5"/>
            <w:tcBorders>
              <w:left w:val="nil"/>
            </w:tcBorders>
            <w:shd w:val="clear" w:color="auto" w:fill="BFBFBF"/>
            <w:vAlign w:val="center"/>
          </w:tcPr>
          <w:p w:rsidR="00EF4CFC" w:rsidRPr="002829D6" w:rsidRDefault="00EF4CFC"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Locum bookings (Bank &amp; Agency) by grade</w:t>
            </w:r>
          </w:p>
        </w:tc>
      </w:tr>
      <w:tr w:rsidR="00EF4CFC" w:rsidRPr="002829D6" w:rsidTr="002829D6">
        <w:tc>
          <w:tcPr>
            <w:tcW w:w="2442" w:type="dxa"/>
            <w:gridSpan w:val="2"/>
            <w:shd w:val="clear" w:color="auto" w:fill="auto"/>
            <w:vAlign w:val="center"/>
          </w:tcPr>
          <w:p w:rsidR="00EF4CFC" w:rsidRPr="002829D6" w:rsidRDefault="00EF4CFC"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417" w:type="dxa"/>
            <w:shd w:val="clear" w:color="auto" w:fill="auto"/>
            <w:vAlign w:val="center"/>
          </w:tcPr>
          <w:p w:rsidR="00EF4CFC" w:rsidRPr="002829D6" w:rsidRDefault="00EF4CFC"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 of shifts requested</w:t>
            </w:r>
          </w:p>
        </w:tc>
        <w:tc>
          <w:tcPr>
            <w:tcW w:w="1559" w:type="dxa"/>
            <w:shd w:val="clear" w:color="auto" w:fill="auto"/>
            <w:vAlign w:val="center"/>
          </w:tcPr>
          <w:p w:rsidR="00EF4CFC" w:rsidRPr="002829D6" w:rsidRDefault="00EF4CFC"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 of shifts worked</w:t>
            </w:r>
          </w:p>
        </w:tc>
        <w:tc>
          <w:tcPr>
            <w:tcW w:w="1276" w:type="dxa"/>
            <w:shd w:val="clear" w:color="auto" w:fill="auto"/>
            <w:vAlign w:val="center"/>
          </w:tcPr>
          <w:p w:rsidR="00EF4CFC" w:rsidRPr="002829D6" w:rsidRDefault="00EF4CFC"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No of hours requested</w:t>
            </w:r>
          </w:p>
        </w:tc>
        <w:tc>
          <w:tcPr>
            <w:tcW w:w="1468" w:type="dxa"/>
            <w:shd w:val="clear" w:color="auto" w:fill="auto"/>
            <w:vAlign w:val="center"/>
          </w:tcPr>
          <w:p w:rsidR="00EF4CFC" w:rsidRPr="002829D6" w:rsidRDefault="00EF4CFC"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 of hours worked</w:t>
            </w:r>
          </w:p>
        </w:tc>
      </w:tr>
      <w:tr w:rsidR="00C304BA" w:rsidRPr="002829D6" w:rsidTr="005976DA">
        <w:tc>
          <w:tcPr>
            <w:tcW w:w="2442" w:type="dxa"/>
            <w:gridSpan w:val="2"/>
            <w:shd w:val="clear" w:color="auto" w:fill="auto"/>
            <w:vAlign w:val="center"/>
          </w:tcPr>
          <w:p w:rsidR="00C304BA" w:rsidRPr="002829D6" w:rsidRDefault="00C304BA"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Consultant</w:t>
            </w:r>
          </w:p>
        </w:tc>
        <w:tc>
          <w:tcPr>
            <w:tcW w:w="1417"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1,915</w:t>
            </w:r>
          </w:p>
        </w:tc>
        <w:tc>
          <w:tcPr>
            <w:tcW w:w="1559" w:type="dxa"/>
            <w:shd w:val="clear" w:color="auto" w:fill="auto"/>
            <w:vAlign w:val="bottom"/>
          </w:tcPr>
          <w:p w:rsidR="00C304BA" w:rsidRPr="00FD3749" w:rsidRDefault="00C304BA">
            <w:pPr>
              <w:jc w:val="center"/>
              <w:rPr>
                <w:rFonts w:ascii="Arial" w:hAnsi="Arial" w:cs="Arial"/>
                <w:color w:val="000000"/>
                <w:sz w:val="16"/>
                <w:szCs w:val="16"/>
              </w:rPr>
            </w:pPr>
            <w:r w:rsidRPr="00FD3749">
              <w:rPr>
                <w:rFonts w:ascii="Arial" w:hAnsi="Arial" w:cs="Arial"/>
                <w:color w:val="000000"/>
                <w:sz w:val="16"/>
                <w:szCs w:val="16"/>
              </w:rPr>
              <w:t>19</w:t>
            </w:r>
            <w:r w:rsidR="009D69DF">
              <w:rPr>
                <w:rFonts w:ascii="Arial" w:hAnsi="Arial" w:cs="Arial"/>
                <w:color w:val="000000"/>
                <w:sz w:val="16"/>
                <w:szCs w:val="16"/>
              </w:rPr>
              <w:t>,</w:t>
            </w:r>
            <w:r w:rsidRPr="00FD3749">
              <w:rPr>
                <w:rFonts w:ascii="Arial" w:hAnsi="Arial" w:cs="Arial"/>
                <w:color w:val="000000"/>
                <w:sz w:val="16"/>
                <w:szCs w:val="16"/>
              </w:rPr>
              <w:t>631</w:t>
            </w:r>
          </w:p>
        </w:tc>
        <w:tc>
          <w:tcPr>
            <w:tcW w:w="1276"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16,321</w:t>
            </w:r>
          </w:p>
        </w:tc>
        <w:tc>
          <w:tcPr>
            <w:tcW w:w="1468" w:type="dxa"/>
            <w:shd w:val="clear" w:color="auto" w:fill="auto"/>
            <w:vAlign w:val="bottom"/>
          </w:tcPr>
          <w:p w:rsidR="00C304BA" w:rsidRPr="00C304BA" w:rsidRDefault="00C304BA">
            <w:pPr>
              <w:jc w:val="center"/>
              <w:rPr>
                <w:rFonts w:ascii="Arial" w:hAnsi="Arial" w:cs="Arial"/>
                <w:color w:val="000000"/>
                <w:sz w:val="16"/>
                <w:szCs w:val="16"/>
              </w:rPr>
            </w:pPr>
            <w:r w:rsidRPr="00C304BA">
              <w:rPr>
                <w:rFonts w:ascii="Arial" w:hAnsi="Arial" w:cs="Arial"/>
                <w:color w:val="000000"/>
                <w:sz w:val="16"/>
                <w:szCs w:val="16"/>
              </w:rPr>
              <w:t>11</w:t>
            </w:r>
            <w:r w:rsidR="009D69DF">
              <w:rPr>
                <w:rFonts w:ascii="Arial" w:hAnsi="Arial" w:cs="Arial"/>
                <w:color w:val="000000"/>
                <w:sz w:val="16"/>
                <w:szCs w:val="16"/>
              </w:rPr>
              <w:t>,</w:t>
            </w:r>
            <w:r w:rsidRPr="00C304BA">
              <w:rPr>
                <w:rFonts w:ascii="Arial" w:hAnsi="Arial" w:cs="Arial"/>
                <w:color w:val="000000"/>
                <w:sz w:val="16"/>
                <w:szCs w:val="16"/>
              </w:rPr>
              <w:t>735</w:t>
            </w:r>
          </w:p>
        </w:tc>
      </w:tr>
      <w:tr w:rsidR="00C304BA" w:rsidRPr="002829D6" w:rsidTr="005976DA">
        <w:tc>
          <w:tcPr>
            <w:tcW w:w="2442" w:type="dxa"/>
            <w:gridSpan w:val="2"/>
            <w:shd w:val="clear" w:color="auto" w:fill="auto"/>
            <w:vAlign w:val="center"/>
          </w:tcPr>
          <w:p w:rsidR="00C304BA" w:rsidRPr="002829D6" w:rsidRDefault="00C304BA"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core training</w:t>
            </w:r>
          </w:p>
        </w:tc>
        <w:tc>
          <w:tcPr>
            <w:tcW w:w="1417"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28</w:t>
            </w:r>
          </w:p>
        </w:tc>
        <w:tc>
          <w:tcPr>
            <w:tcW w:w="1559" w:type="dxa"/>
            <w:shd w:val="clear" w:color="auto" w:fill="auto"/>
            <w:vAlign w:val="bottom"/>
          </w:tcPr>
          <w:p w:rsidR="00C304BA" w:rsidRPr="00FD3749" w:rsidRDefault="00C304BA">
            <w:pPr>
              <w:jc w:val="center"/>
              <w:rPr>
                <w:rFonts w:ascii="Arial" w:hAnsi="Arial" w:cs="Arial"/>
                <w:color w:val="000000"/>
                <w:sz w:val="16"/>
                <w:szCs w:val="16"/>
              </w:rPr>
            </w:pPr>
            <w:r w:rsidRPr="00FD3749">
              <w:rPr>
                <w:rFonts w:ascii="Arial" w:hAnsi="Arial" w:cs="Arial"/>
                <w:color w:val="000000"/>
                <w:sz w:val="16"/>
                <w:szCs w:val="16"/>
              </w:rPr>
              <w:t>0</w:t>
            </w:r>
          </w:p>
        </w:tc>
        <w:tc>
          <w:tcPr>
            <w:tcW w:w="1276"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335</w:t>
            </w:r>
          </w:p>
        </w:tc>
        <w:tc>
          <w:tcPr>
            <w:tcW w:w="1468" w:type="dxa"/>
            <w:shd w:val="clear" w:color="auto" w:fill="auto"/>
            <w:vAlign w:val="bottom"/>
          </w:tcPr>
          <w:p w:rsidR="00C304BA" w:rsidRPr="00C304BA" w:rsidRDefault="00C304BA">
            <w:pPr>
              <w:jc w:val="center"/>
              <w:rPr>
                <w:rFonts w:ascii="Arial" w:hAnsi="Arial" w:cs="Arial"/>
                <w:color w:val="000000"/>
                <w:sz w:val="16"/>
                <w:szCs w:val="16"/>
              </w:rPr>
            </w:pPr>
            <w:r w:rsidRPr="00C304BA">
              <w:rPr>
                <w:rFonts w:ascii="Arial" w:hAnsi="Arial" w:cs="Arial"/>
                <w:color w:val="000000"/>
                <w:sz w:val="16"/>
                <w:szCs w:val="16"/>
              </w:rPr>
              <w:t>274</w:t>
            </w:r>
          </w:p>
        </w:tc>
      </w:tr>
      <w:tr w:rsidR="00C304BA" w:rsidRPr="002829D6" w:rsidTr="005976DA">
        <w:tc>
          <w:tcPr>
            <w:tcW w:w="2442" w:type="dxa"/>
            <w:gridSpan w:val="2"/>
            <w:shd w:val="clear" w:color="auto" w:fill="auto"/>
            <w:vAlign w:val="center"/>
          </w:tcPr>
          <w:p w:rsidR="00C304BA" w:rsidRPr="002829D6" w:rsidRDefault="00C304BA"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Foundation (Y1)</w:t>
            </w:r>
          </w:p>
        </w:tc>
        <w:tc>
          <w:tcPr>
            <w:tcW w:w="1417"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77</w:t>
            </w:r>
          </w:p>
        </w:tc>
        <w:tc>
          <w:tcPr>
            <w:tcW w:w="1559" w:type="dxa"/>
            <w:shd w:val="clear" w:color="auto" w:fill="auto"/>
            <w:vAlign w:val="bottom"/>
          </w:tcPr>
          <w:p w:rsidR="00C304BA" w:rsidRPr="00FD3749" w:rsidRDefault="00C304BA">
            <w:pPr>
              <w:jc w:val="center"/>
              <w:rPr>
                <w:rFonts w:ascii="Arial" w:hAnsi="Arial" w:cs="Arial"/>
                <w:color w:val="000000"/>
                <w:sz w:val="16"/>
                <w:szCs w:val="16"/>
              </w:rPr>
            </w:pPr>
            <w:r w:rsidRPr="00FD3749">
              <w:rPr>
                <w:rFonts w:ascii="Arial" w:hAnsi="Arial" w:cs="Arial"/>
                <w:color w:val="000000"/>
                <w:sz w:val="16"/>
                <w:szCs w:val="16"/>
              </w:rPr>
              <w:t>1</w:t>
            </w:r>
            <w:r w:rsidR="009D69DF">
              <w:rPr>
                <w:rFonts w:ascii="Arial" w:hAnsi="Arial" w:cs="Arial"/>
                <w:color w:val="000000"/>
                <w:sz w:val="16"/>
                <w:szCs w:val="16"/>
              </w:rPr>
              <w:t>,</w:t>
            </w:r>
            <w:r w:rsidRPr="00FD3749">
              <w:rPr>
                <w:rFonts w:ascii="Arial" w:hAnsi="Arial" w:cs="Arial"/>
                <w:color w:val="000000"/>
                <w:sz w:val="16"/>
                <w:szCs w:val="16"/>
              </w:rPr>
              <w:t>017</w:t>
            </w:r>
          </w:p>
        </w:tc>
        <w:tc>
          <w:tcPr>
            <w:tcW w:w="1276"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649</w:t>
            </w:r>
          </w:p>
        </w:tc>
        <w:tc>
          <w:tcPr>
            <w:tcW w:w="1468" w:type="dxa"/>
            <w:shd w:val="clear" w:color="auto" w:fill="auto"/>
            <w:vAlign w:val="bottom"/>
          </w:tcPr>
          <w:p w:rsidR="00C304BA" w:rsidRPr="00C304BA" w:rsidRDefault="00C304BA">
            <w:pPr>
              <w:jc w:val="center"/>
              <w:rPr>
                <w:rFonts w:ascii="Arial" w:hAnsi="Arial" w:cs="Arial"/>
                <w:color w:val="000000"/>
                <w:sz w:val="16"/>
                <w:szCs w:val="16"/>
              </w:rPr>
            </w:pPr>
            <w:r w:rsidRPr="00C304BA">
              <w:rPr>
                <w:rFonts w:ascii="Arial" w:hAnsi="Arial" w:cs="Arial"/>
                <w:color w:val="000000"/>
                <w:sz w:val="16"/>
                <w:szCs w:val="16"/>
              </w:rPr>
              <w:t>529</w:t>
            </w:r>
          </w:p>
        </w:tc>
      </w:tr>
      <w:tr w:rsidR="00C304BA" w:rsidRPr="002829D6" w:rsidTr="005976DA">
        <w:tc>
          <w:tcPr>
            <w:tcW w:w="2442" w:type="dxa"/>
            <w:gridSpan w:val="2"/>
            <w:shd w:val="clear" w:color="auto" w:fill="auto"/>
            <w:vAlign w:val="center"/>
          </w:tcPr>
          <w:p w:rsidR="00C304BA" w:rsidRPr="002829D6" w:rsidRDefault="00C304BA"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Foundation (Y2)</w:t>
            </w:r>
          </w:p>
        </w:tc>
        <w:tc>
          <w:tcPr>
            <w:tcW w:w="1417"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147</w:t>
            </w:r>
          </w:p>
        </w:tc>
        <w:tc>
          <w:tcPr>
            <w:tcW w:w="1559" w:type="dxa"/>
            <w:shd w:val="clear" w:color="auto" w:fill="auto"/>
            <w:vAlign w:val="bottom"/>
          </w:tcPr>
          <w:p w:rsidR="00C304BA" w:rsidRPr="00FD3749" w:rsidRDefault="00C304BA">
            <w:pPr>
              <w:jc w:val="center"/>
              <w:rPr>
                <w:rFonts w:ascii="Arial" w:hAnsi="Arial" w:cs="Arial"/>
                <w:color w:val="000000"/>
                <w:sz w:val="16"/>
                <w:szCs w:val="16"/>
              </w:rPr>
            </w:pPr>
            <w:r w:rsidRPr="00FD3749">
              <w:rPr>
                <w:rFonts w:ascii="Arial" w:hAnsi="Arial" w:cs="Arial"/>
                <w:color w:val="000000"/>
                <w:sz w:val="16"/>
                <w:szCs w:val="16"/>
              </w:rPr>
              <w:t>0</w:t>
            </w:r>
          </w:p>
        </w:tc>
        <w:tc>
          <w:tcPr>
            <w:tcW w:w="1276"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1,281</w:t>
            </w:r>
          </w:p>
        </w:tc>
        <w:tc>
          <w:tcPr>
            <w:tcW w:w="1468" w:type="dxa"/>
            <w:shd w:val="clear" w:color="auto" w:fill="auto"/>
            <w:vAlign w:val="bottom"/>
          </w:tcPr>
          <w:p w:rsidR="00C304BA" w:rsidRPr="00C304BA" w:rsidRDefault="00C304BA">
            <w:pPr>
              <w:jc w:val="center"/>
              <w:rPr>
                <w:rFonts w:ascii="Arial" w:hAnsi="Arial" w:cs="Arial"/>
                <w:color w:val="000000"/>
                <w:sz w:val="16"/>
                <w:szCs w:val="16"/>
              </w:rPr>
            </w:pPr>
            <w:r w:rsidRPr="00C304BA">
              <w:rPr>
                <w:rFonts w:ascii="Arial" w:hAnsi="Arial" w:cs="Arial"/>
                <w:color w:val="000000"/>
                <w:sz w:val="16"/>
                <w:szCs w:val="16"/>
              </w:rPr>
              <w:t>1</w:t>
            </w:r>
            <w:r w:rsidR="009D69DF">
              <w:rPr>
                <w:rFonts w:ascii="Arial" w:hAnsi="Arial" w:cs="Arial"/>
                <w:color w:val="000000"/>
                <w:sz w:val="16"/>
                <w:szCs w:val="16"/>
              </w:rPr>
              <w:t>,</w:t>
            </w:r>
            <w:r w:rsidRPr="00C304BA">
              <w:rPr>
                <w:rFonts w:ascii="Arial" w:hAnsi="Arial" w:cs="Arial"/>
                <w:color w:val="000000"/>
                <w:sz w:val="16"/>
                <w:szCs w:val="16"/>
              </w:rPr>
              <w:t>108</w:t>
            </w:r>
          </w:p>
        </w:tc>
      </w:tr>
      <w:tr w:rsidR="00C304BA" w:rsidRPr="002829D6" w:rsidTr="005976DA">
        <w:tc>
          <w:tcPr>
            <w:tcW w:w="2442" w:type="dxa"/>
            <w:gridSpan w:val="2"/>
            <w:shd w:val="clear" w:color="auto" w:fill="auto"/>
            <w:vAlign w:val="center"/>
          </w:tcPr>
          <w:p w:rsidR="00C304BA" w:rsidRPr="002829D6" w:rsidRDefault="00C304BA" w:rsidP="002829D6">
            <w:pPr>
              <w:pStyle w:val="ListParagraph"/>
              <w:spacing w:before="60" w:after="60" w:line="240" w:lineRule="auto"/>
              <w:ind w:left="0"/>
              <w:contextualSpacing/>
              <w:rPr>
                <w:rFonts w:ascii="Arial" w:hAnsi="Arial" w:cs="Arial"/>
                <w:sz w:val="16"/>
                <w:szCs w:val="16"/>
              </w:rPr>
            </w:pPr>
            <w:proofErr w:type="spellStart"/>
            <w:r w:rsidRPr="002829D6">
              <w:rPr>
                <w:rFonts w:ascii="Arial" w:hAnsi="Arial" w:cs="Arial"/>
                <w:sz w:val="16"/>
                <w:szCs w:val="16"/>
              </w:rPr>
              <w:t>StR</w:t>
            </w:r>
            <w:proofErr w:type="spellEnd"/>
            <w:r w:rsidRPr="002829D6">
              <w:rPr>
                <w:rFonts w:ascii="Arial" w:hAnsi="Arial" w:cs="Arial"/>
                <w:sz w:val="16"/>
                <w:szCs w:val="16"/>
              </w:rPr>
              <w:t xml:space="preserve"> 1-2 &amp; Core Medical Trainees</w:t>
            </w:r>
          </w:p>
        </w:tc>
        <w:tc>
          <w:tcPr>
            <w:tcW w:w="1417"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3,899</w:t>
            </w:r>
          </w:p>
        </w:tc>
        <w:tc>
          <w:tcPr>
            <w:tcW w:w="1559" w:type="dxa"/>
            <w:shd w:val="clear" w:color="auto" w:fill="auto"/>
            <w:vAlign w:val="bottom"/>
          </w:tcPr>
          <w:p w:rsidR="00C304BA" w:rsidRPr="00FD3749" w:rsidRDefault="00C304BA">
            <w:pPr>
              <w:jc w:val="center"/>
              <w:rPr>
                <w:rFonts w:ascii="Arial" w:hAnsi="Arial" w:cs="Arial"/>
                <w:color w:val="000000"/>
                <w:sz w:val="16"/>
                <w:szCs w:val="16"/>
              </w:rPr>
            </w:pPr>
            <w:r w:rsidRPr="00FD3749">
              <w:rPr>
                <w:rFonts w:ascii="Arial" w:hAnsi="Arial" w:cs="Arial"/>
                <w:color w:val="000000"/>
                <w:sz w:val="16"/>
                <w:szCs w:val="16"/>
              </w:rPr>
              <w:t>30</w:t>
            </w:r>
            <w:r w:rsidR="009D69DF">
              <w:rPr>
                <w:rFonts w:ascii="Arial" w:hAnsi="Arial" w:cs="Arial"/>
                <w:color w:val="000000"/>
                <w:sz w:val="16"/>
                <w:szCs w:val="16"/>
              </w:rPr>
              <w:t>,</w:t>
            </w:r>
            <w:r w:rsidRPr="00FD3749">
              <w:rPr>
                <w:rFonts w:ascii="Arial" w:hAnsi="Arial" w:cs="Arial"/>
                <w:color w:val="000000"/>
                <w:sz w:val="16"/>
                <w:szCs w:val="16"/>
              </w:rPr>
              <w:t>582</w:t>
            </w:r>
          </w:p>
        </w:tc>
        <w:tc>
          <w:tcPr>
            <w:tcW w:w="1276" w:type="dxa"/>
            <w:shd w:val="clear" w:color="auto" w:fill="auto"/>
            <w:vAlign w:val="center"/>
          </w:tcPr>
          <w:p w:rsidR="00C304BA" w:rsidRPr="00F44F3E" w:rsidRDefault="00C304BA" w:rsidP="00F44F3E">
            <w:pPr>
              <w:pStyle w:val="ListParagraph"/>
              <w:spacing w:before="60" w:after="60" w:line="240" w:lineRule="auto"/>
              <w:ind w:left="0"/>
              <w:contextualSpacing/>
              <w:jc w:val="center"/>
              <w:rPr>
                <w:rFonts w:ascii="Arial" w:hAnsi="Arial" w:cs="Arial"/>
                <w:sz w:val="16"/>
                <w:szCs w:val="16"/>
              </w:rPr>
            </w:pPr>
            <w:r w:rsidRPr="00F44F3E">
              <w:rPr>
                <w:rFonts w:ascii="Arial" w:hAnsi="Arial" w:cs="Arial"/>
                <w:sz w:val="16"/>
                <w:szCs w:val="16"/>
              </w:rPr>
              <w:t>36,737</w:t>
            </w:r>
          </w:p>
        </w:tc>
        <w:tc>
          <w:tcPr>
            <w:tcW w:w="1468" w:type="dxa"/>
            <w:shd w:val="clear" w:color="auto" w:fill="auto"/>
            <w:vAlign w:val="bottom"/>
          </w:tcPr>
          <w:p w:rsidR="00C304BA" w:rsidRPr="00C304BA" w:rsidRDefault="00C304BA">
            <w:pPr>
              <w:jc w:val="center"/>
              <w:rPr>
                <w:rFonts w:ascii="Arial" w:hAnsi="Arial" w:cs="Arial"/>
                <w:color w:val="000000"/>
                <w:sz w:val="16"/>
                <w:szCs w:val="16"/>
              </w:rPr>
            </w:pPr>
            <w:r w:rsidRPr="00C304BA">
              <w:rPr>
                <w:rFonts w:ascii="Arial" w:hAnsi="Arial" w:cs="Arial"/>
                <w:color w:val="000000"/>
                <w:sz w:val="16"/>
                <w:szCs w:val="16"/>
              </w:rPr>
              <w:t>27</w:t>
            </w:r>
            <w:r w:rsidR="009D69DF">
              <w:rPr>
                <w:rFonts w:ascii="Arial" w:hAnsi="Arial" w:cs="Arial"/>
                <w:color w:val="000000"/>
                <w:sz w:val="16"/>
                <w:szCs w:val="16"/>
              </w:rPr>
              <w:t>,</w:t>
            </w:r>
            <w:r w:rsidRPr="00C304BA">
              <w:rPr>
                <w:rFonts w:ascii="Arial" w:hAnsi="Arial" w:cs="Arial"/>
                <w:color w:val="000000"/>
                <w:sz w:val="16"/>
                <w:szCs w:val="16"/>
              </w:rPr>
              <w:t>865</w:t>
            </w:r>
          </w:p>
        </w:tc>
      </w:tr>
      <w:tr w:rsidR="00C304BA" w:rsidRPr="002829D6" w:rsidTr="005976DA">
        <w:tc>
          <w:tcPr>
            <w:tcW w:w="2442" w:type="dxa"/>
            <w:gridSpan w:val="2"/>
            <w:shd w:val="clear" w:color="auto" w:fill="auto"/>
            <w:vAlign w:val="center"/>
          </w:tcPr>
          <w:p w:rsidR="00C304BA" w:rsidRPr="002829D6" w:rsidRDefault="00C304BA"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StR3+</w:t>
            </w:r>
          </w:p>
        </w:tc>
        <w:tc>
          <w:tcPr>
            <w:tcW w:w="1417" w:type="dxa"/>
            <w:shd w:val="clear" w:color="auto" w:fill="auto"/>
            <w:vAlign w:val="center"/>
          </w:tcPr>
          <w:p w:rsidR="00C304BA" w:rsidRPr="002829D6" w:rsidRDefault="00C304B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2,432</w:t>
            </w:r>
          </w:p>
        </w:tc>
        <w:tc>
          <w:tcPr>
            <w:tcW w:w="1559" w:type="dxa"/>
            <w:shd w:val="clear" w:color="auto" w:fill="auto"/>
            <w:vAlign w:val="bottom"/>
          </w:tcPr>
          <w:p w:rsidR="00C304BA" w:rsidRPr="00FD3749" w:rsidRDefault="00C304BA">
            <w:pPr>
              <w:jc w:val="center"/>
              <w:rPr>
                <w:rFonts w:ascii="Arial" w:hAnsi="Arial" w:cs="Arial"/>
                <w:color w:val="000000"/>
                <w:sz w:val="16"/>
                <w:szCs w:val="16"/>
              </w:rPr>
            </w:pPr>
            <w:r w:rsidRPr="00FD3749">
              <w:rPr>
                <w:rFonts w:ascii="Arial" w:hAnsi="Arial" w:cs="Arial"/>
                <w:color w:val="000000"/>
                <w:sz w:val="16"/>
                <w:szCs w:val="16"/>
              </w:rPr>
              <w:t>7</w:t>
            </w:r>
            <w:r w:rsidR="009D69DF">
              <w:rPr>
                <w:rFonts w:ascii="Arial" w:hAnsi="Arial" w:cs="Arial"/>
                <w:color w:val="000000"/>
                <w:sz w:val="16"/>
                <w:szCs w:val="16"/>
              </w:rPr>
              <w:t>,</w:t>
            </w:r>
            <w:r w:rsidRPr="00FD3749">
              <w:rPr>
                <w:rFonts w:ascii="Arial" w:hAnsi="Arial" w:cs="Arial"/>
                <w:color w:val="000000"/>
                <w:sz w:val="16"/>
                <w:szCs w:val="16"/>
              </w:rPr>
              <w:t>154</w:t>
            </w:r>
          </w:p>
        </w:tc>
        <w:tc>
          <w:tcPr>
            <w:tcW w:w="1276" w:type="dxa"/>
            <w:shd w:val="clear" w:color="auto" w:fill="auto"/>
            <w:vAlign w:val="center"/>
          </w:tcPr>
          <w:p w:rsidR="00C304BA" w:rsidRPr="002829D6" w:rsidRDefault="00C304B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26,840</w:t>
            </w:r>
          </w:p>
        </w:tc>
        <w:tc>
          <w:tcPr>
            <w:tcW w:w="1468" w:type="dxa"/>
            <w:shd w:val="clear" w:color="auto" w:fill="auto"/>
            <w:vAlign w:val="bottom"/>
          </w:tcPr>
          <w:p w:rsidR="00C304BA" w:rsidRPr="00C304BA" w:rsidRDefault="00C304BA">
            <w:pPr>
              <w:jc w:val="center"/>
              <w:rPr>
                <w:rFonts w:ascii="Arial" w:hAnsi="Arial" w:cs="Arial"/>
                <w:color w:val="000000"/>
                <w:sz w:val="16"/>
                <w:szCs w:val="16"/>
              </w:rPr>
            </w:pPr>
            <w:r w:rsidRPr="00C304BA">
              <w:rPr>
                <w:rFonts w:ascii="Arial" w:hAnsi="Arial" w:cs="Arial"/>
                <w:color w:val="000000"/>
                <w:sz w:val="16"/>
                <w:szCs w:val="16"/>
              </w:rPr>
              <w:t>18</w:t>
            </w:r>
            <w:r w:rsidR="009D69DF">
              <w:rPr>
                <w:rFonts w:ascii="Arial" w:hAnsi="Arial" w:cs="Arial"/>
                <w:color w:val="000000"/>
                <w:sz w:val="16"/>
                <w:szCs w:val="16"/>
              </w:rPr>
              <w:t>,</w:t>
            </w:r>
            <w:r w:rsidRPr="00C304BA">
              <w:rPr>
                <w:rFonts w:ascii="Arial" w:hAnsi="Arial" w:cs="Arial"/>
                <w:color w:val="000000"/>
                <w:sz w:val="16"/>
                <w:szCs w:val="16"/>
              </w:rPr>
              <w:t>929</w:t>
            </w:r>
          </w:p>
        </w:tc>
      </w:tr>
      <w:tr w:rsidR="00C304BA" w:rsidRPr="002829D6" w:rsidTr="005976DA">
        <w:tc>
          <w:tcPr>
            <w:tcW w:w="2442" w:type="dxa"/>
            <w:gridSpan w:val="2"/>
            <w:shd w:val="clear" w:color="auto" w:fill="auto"/>
            <w:vAlign w:val="center"/>
          </w:tcPr>
          <w:p w:rsidR="00C304BA" w:rsidRPr="002829D6" w:rsidRDefault="00C304BA"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Specialty/Staff Grade doctors</w:t>
            </w:r>
          </w:p>
        </w:tc>
        <w:tc>
          <w:tcPr>
            <w:tcW w:w="1417" w:type="dxa"/>
            <w:shd w:val="clear" w:color="auto" w:fill="auto"/>
            <w:vAlign w:val="center"/>
          </w:tcPr>
          <w:p w:rsidR="00C304BA" w:rsidRPr="002829D6" w:rsidRDefault="00C304B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184</w:t>
            </w:r>
          </w:p>
        </w:tc>
        <w:tc>
          <w:tcPr>
            <w:tcW w:w="1559" w:type="dxa"/>
            <w:shd w:val="clear" w:color="auto" w:fill="auto"/>
            <w:vAlign w:val="bottom"/>
          </w:tcPr>
          <w:p w:rsidR="00C304BA" w:rsidRPr="00FD3749" w:rsidRDefault="00C304BA">
            <w:pPr>
              <w:jc w:val="center"/>
              <w:rPr>
                <w:rFonts w:ascii="Arial" w:hAnsi="Arial" w:cs="Arial"/>
                <w:color w:val="000000"/>
                <w:sz w:val="16"/>
                <w:szCs w:val="16"/>
              </w:rPr>
            </w:pPr>
            <w:r w:rsidRPr="00FD3749">
              <w:rPr>
                <w:rFonts w:ascii="Arial" w:hAnsi="Arial" w:cs="Arial"/>
                <w:color w:val="000000"/>
                <w:sz w:val="16"/>
                <w:szCs w:val="16"/>
              </w:rPr>
              <w:t>849</w:t>
            </w:r>
          </w:p>
        </w:tc>
        <w:tc>
          <w:tcPr>
            <w:tcW w:w="1276" w:type="dxa"/>
            <w:shd w:val="clear" w:color="auto" w:fill="auto"/>
            <w:vAlign w:val="center"/>
          </w:tcPr>
          <w:p w:rsidR="00C304BA" w:rsidRPr="002829D6" w:rsidRDefault="00C304BA"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1,725</w:t>
            </w:r>
          </w:p>
        </w:tc>
        <w:tc>
          <w:tcPr>
            <w:tcW w:w="1468" w:type="dxa"/>
            <w:shd w:val="clear" w:color="auto" w:fill="auto"/>
            <w:vAlign w:val="bottom"/>
          </w:tcPr>
          <w:p w:rsidR="00C304BA" w:rsidRPr="00C304BA" w:rsidRDefault="00C304BA">
            <w:pPr>
              <w:jc w:val="center"/>
              <w:rPr>
                <w:rFonts w:ascii="Arial" w:hAnsi="Arial" w:cs="Arial"/>
                <w:color w:val="000000"/>
                <w:sz w:val="16"/>
                <w:szCs w:val="16"/>
              </w:rPr>
            </w:pPr>
            <w:r w:rsidRPr="00C304BA">
              <w:rPr>
                <w:rFonts w:ascii="Arial" w:hAnsi="Arial" w:cs="Arial"/>
                <w:color w:val="000000"/>
                <w:sz w:val="16"/>
                <w:szCs w:val="16"/>
              </w:rPr>
              <w:t>900</w:t>
            </w:r>
          </w:p>
        </w:tc>
      </w:tr>
      <w:tr w:rsidR="00C304BA" w:rsidRPr="002829D6" w:rsidTr="005976DA">
        <w:tc>
          <w:tcPr>
            <w:tcW w:w="2442" w:type="dxa"/>
            <w:gridSpan w:val="2"/>
            <w:shd w:val="clear" w:color="auto" w:fill="auto"/>
            <w:vAlign w:val="center"/>
          </w:tcPr>
          <w:p w:rsidR="00C304BA" w:rsidRPr="002829D6" w:rsidRDefault="00C304BA"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1417" w:type="dxa"/>
            <w:shd w:val="clear" w:color="auto" w:fill="auto"/>
            <w:vAlign w:val="center"/>
          </w:tcPr>
          <w:p w:rsidR="00C304BA" w:rsidRPr="002829D6" w:rsidRDefault="00C304B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8,682</w:t>
            </w:r>
          </w:p>
        </w:tc>
        <w:tc>
          <w:tcPr>
            <w:tcW w:w="1559" w:type="dxa"/>
            <w:shd w:val="clear" w:color="auto" w:fill="auto"/>
            <w:vAlign w:val="bottom"/>
          </w:tcPr>
          <w:p w:rsidR="00C304BA" w:rsidRPr="00FD3749" w:rsidRDefault="00C304BA">
            <w:pPr>
              <w:jc w:val="center"/>
              <w:rPr>
                <w:rFonts w:ascii="Arial" w:hAnsi="Arial" w:cs="Arial"/>
                <w:b/>
                <w:bCs/>
                <w:color w:val="000000"/>
                <w:sz w:val="16"/>
                <w:szCs w:val="16"/>
              </w:rPr>
            </w:pPr>
            <w:r w:rsidRPr="00FD3749">
              <w:rPr>
                <w:rFonts w:ascii="Arial" w:hAnsi="Arial" w:cs="Arial"/>
                <w:b/>
                <w:bCs/>
                <w:color w:val="000000"/>
                <w:sz w:val="16"/>
                <w:szCs w:val="16"/>
              </w:rPr>
              <w:t>6</w:t>
            </w:r>
            <w:r w:rsidR="009D69DF">
              <w:rPr>
                <w:rFonts w:ascii="Arial" w:hAnsi="Arial" w:cs="Arial"/>
                <w:b/>
                <w:bCs/>
                <w:color w:val="000000"/>
                <w:sz w:val="16"/>
                <w:szCs w:val="16"/>
              </w:rPr>
              <w:t>,</w:t>
            </w:r>
            <w:r w:rsidRPr="00FD3749">
              <w:rPr>
                <w:rFonts w:ascii="Arial" w:hAnsi="Arial" w:cs="Arial"/>
                <w:b/>
                <w:bCs/>
                <w:color w:val="000000"/>
                <w:sz w:val="16"/>
                <w:szCs w:val="16"/>
              </w:rPr>
              <w:t>472</w:t>
            </w:r>
          </w:p>
        </w:tc>
        <w:tc>
          <w:tcPr>
            <w:tcW w:w="1276" w:type="dxa"/>
            <w:shd w:val="clear" w:color="auto" w:fill="auto"/>
            <w:vAlign w:val="center"/>
          </w:tcPr>
          <w:p w:rsidR="00C304BA" w:rsidRPr="002829D6" w:rsidRDefault="00C304BA"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83,888</w:t>
            </w:r>
          </w:p>
        </w:tc>
        <w:tc>
          <w:tcPr>
            <w:tcW w:w="1468" w:type="dxa"/>
            <w:shd w:val="clear" w:color="auto" w:fill="auto"/>
            <w:vAlign w:val="bottom"/>
          </w:tcPr>
          <w:p w:rsidR="00C304BA" w:rsidRPr="00C304BA" w:rsidRDefault="00C304BA">
            <w:pPr>
              <w:jc w:val="center"/>
              <w:rPr>
                <w:rFonts w:ascii="Arial" w:hAnsi="Arial" w:cs="Arial"/>
                <w:b/>
                <w:bCs/>
                <w:color w:val="000000"/>
                <w:sz w:val="16"/>
                <w:szCs w:val="16"/>
              </w:rPr>
            </w:pPr>
            <w:r w:rsidRPr="00C304BA">
              <w:rPr>
                <w:rFonts w:ascii="Arial" w:hAnsi="Arial" w:cs="Arial"/>
                <w:b/>
                <w:bCs/>
                <w:color w:val="000000"/>
                <w:sz w:val="16"/>
                <w:szCs w:val="16"/>
              </w:rPr>
              <w:t>61</w:t>
            </w:r>
            <w:r w:rsidR="009D69DF">
              <w:rPr>
                <w:rFonts w:ascii="Arial" w:hAnsi="Arial" w:cs="Arial"/>
                <w:b/>
                <w:bCs/>
                <w:color w:val="000000"/>
                <w:sz w:val="16"/>
                <w:szCs w:val="16"/>
              </w:rPr>
              <w:t>,</w:t>
            </w:r>
            <w:r w:rsidRPr="00C304BA">
              <w:rPr>
                <w:rFonts w:ascii="Arial" w:hAnsi="Arial" w:cs="Arial"/>
                <w:b/>
                <w:bCs/>
                <w:color w:val="000000"/>
                <w:sz w:val="16"/>
                <w:szCs w:val="16"/>
              </w:rPr>
              <w:t>339</w:t>
            </w:r>
          </w:p>
        </w:tc>
      </w:tr>
    </w:tbl>
    <w:p w:rsidR="00EF4CFC" w:rsidRDefault="00EF4CFC" w:rsidP="000A34EB">
      <w:pPr>
        <w:pStyle w:val="ListParagraph"/>
        <w:ind w:left="360"/>
        <w:contextualSpacing/>
        <w:jc w:val="both"/>
        <w:rPr>
          <w:rFonts w:ascii="Arial" w:hAnsi="Arial" w:cs="Arial"/>
          <w:b/>
          <w:sz w:val="21"/>
          <w:szCs w:val="21"/>
        </w:rPr>
      </w:pPr>
    </w:p>
    <w:p w:rsidR="00A605E6" w:rsidRDefault="00A605E6" w:rsidP="000A34EB">
      <w:pPr>
        <w:pStyle w:val="ListParagraph"/>
        <w:ind w:left="360"/>
        <w:contextualSpacing/>
        <w:jc w:val="both"/>
        <w:rPr>
          <w:rFonts w:ascii="Arial" w:hAnsi="Arial" w:cs="Arial"/>
          <w:b/>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43"/>
        <w:gridCol w:w="1417"/>
        <w:gridCol w:w="1559"/>
        <w:gridCol w:w="1276"/>
        <w:gridCol w:w="1468"/>
      </w:tblGrid>
      <w:tr w:rsidR="00A605E6" w:rsidRPr="002829D6" w:rsidTr="002829D6">
        <w:tc>
          <w:tcPr>
            <w:tcW w:w="599" w:type="dxa"/>
            <w:tcBorders>
              <w:right w:val="nil"/>
            </w:tcBorders>
            <w:shd w:val="clear" w:color="auto" w:fill="BFBFBF"/>
          </w:tcPr>
          <w:p w:rsidR="00A605E6" w:rsidRPr="002829D6" w:rsidRDefault="00A605E6"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t>5.3</w:t>
            </w:r>
          </w:p>
        </w:tc>
        <w:tc>
          <w:tcPr>
            <w:tcW w:w="7563" w:type="dxa"/>
            <w:gridSpan w:val="5"/>
            <w:tcBorders>
              <w:left w:val="nil"/>
            </w:tcBorders>
            <w:shd w:val="clear" w:color="auto" w:fill="BFBFBF"/>
            <w:vAlign w:val="center"/>
          </w:tcPr>
          <w:p w:rsidR="00A605E6" w:rsidRPr="002829D6" w:rsidRDefault="00A605E6" w:rsidP="002829D6">
            <w:pPr>
              <w:pStyle w:val="ListParagraph"/>
              <w:spacing w:before="60" w:after="60" w:line="240" w:lineRule="auto"/>
              <w:ind w:left="0"/>
              <w:contextualSpacing/>
              <w:rPr>
                <w:rFonts w:ascii="Arial" w:hAnsi="Arial" w:cs="Arial"/>
                <w:b/>
                <w:sz w:val="21"/>
                <w:szCs w:val="21"/>
              </w:rPr>
            </w:pPr>
            <w:r w:rsidRPr="002829D6">
              <w:rPr>
                <w:rFonts w:ascii="Arial" w:hAnsi="Arial" w:cs="Arial"/>
                <w:b/>
                <w:sz w:val="21"/>
                <w:szCs w:val="21"/>
              </w:rPr>
              <w:t>Locum bookings (Bank &amp; Agency) by reason</w:t>
            </w:r>
          </w:p>
        </w:tc>
      </w:tr>
      <w:tr w:rsidR="00A605E6" w:rsidRPr="002829D6" w:rsidTr="002829D6">
        <w:tc>
          <w:tcPr>
            <w:tcW w:w="2442" w:type="dxa"/>
            <w:gridSpan w:val="2"/>
            <w:shd w:val="clear" w:color="auto" w:fill="auto"/>
            <w:vAlign w:val="center"/>
          </w:tcPr>
          <w:p w:rsidR="00A605E6" w:rsidRPr="002829D6" w:rsidRDefault="00A605E6"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Reason</w:t>
            </w:r>
          </w:p>
        </w:tc>
        <w:tc>
          <w:tcPr>
            <w:tcW w:w="1417" w:type="dxa"/>
            <w:shd w:val="clear" w:color="auto" w:fill="auto"/>
            <w:vAlign w:val="center"/>
          </w:tcPr>
          <w:p w:rsidR="00A605E6" w:rsidRPr="002829D6" w:rsidRDefault="00A605E6"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 of shifts requested</w:t>
            </w:r>
          </w:p>
        </w:tc>
        <w:tc>
          <w:tcPr>
            <w:tcW w:w="1559" w:type="dxa"/>
            <w:shd w:val="clear" w:color="auto" w:fill="auto"/>
            <w:vAlign w:val="center"/>
          </w:tcPr>
          <w:p w:rsidR="00A605E6" w:rsidRPr="002829D6" w:rsidRDefault="00A605E6"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Number of shifts worked</w:t>
            </w:r>
          </w:p>
        </w:tc>
        <w:tc>
          <w:tcPr>
            <w:tcW w:w="1276" w:type="dxa"/>
            <w:shd w:val="clear" w:color="auto" w:fill="auto"/>
            <w:vAlign w:val="center"/>
          </w:tcPr>
          <w:p w:rsidR="00A605E6" w:rsidRPr="002829D6" w:rsidRDefault="00A605E6"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Hours requested</w:t>
            </w:r>
          </w:p>
        </w:tc>
        <w:tc>
          <w:tcPr>
            <w:tcW w:w="1468" w:type="dxa"/>
            <w:shd w:val="clear" w:color="auto" w:fill="auto"/>
            <w:vAlign w:val="center"/>
          </w:tcPr>
          <w:p w:rsidR="00A605E6" w:rsidRPr="002829D6" w:rsidRDefault="00A605E6"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Hours worked</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Additional activity</w:t>
            </w:r>
          </w:p>
        </w:tc>
        <w:tc>
          <w:tcPr>
            <w:tcW w:w="1417"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2,379</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1</w:t>
            </w:r>
            <w:r w:rsidR="009D69DF">
              <w:rPr>
                <w:rFonts w:ascii="Arial" w:hAnsi="Arial" w:cs="Arial"/>
                <w:color w:val="000000"/>
                <w:sz w:val="16"/>
                <w:szCs w:val="16"/>
              </w:rPr>
              <w:t>,</w:t>
            </w:r>
            <w:r w:rsidRPr="00814098">
              <w:rPr>
                <w:rFonts w:ascii="Arial" w:hAnsi="Arial" w:cs="Arial"/>
                <w:color w:val="000000"/>
                <w:sz w:val="16"/>
                <w:szCs w:val="16"/>
              </w:rPr>
              <w:t>892</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23,443</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17</w:t>
            </w:r>
            <w:r w:rsidR="009D69DF">
              <w:rPr>
                <w:rFonts w:ascii="Arial" w:hAnsi="Arial" w:cs="Arial"/>
                <w:sz w:val="16"/>
                <w:szCs w:val="16"/>
              </w:rPr>
              <w:t>,</w:t>
            </w:r>
            <w:r>
              <w:rPr>
                <w:rFonts w:ascii="Arial" w:hAnsi="Arial" w:cs="Arial"/>
                <w:sz w:val="16"/>
                <w:szCs w:val="16"/>
              </w:rPr>
              <w:t>434</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Annual leave</w:t>
            </w:r>
          </w:p>
        </w:tc>
        <w:tc>
          <w:tcPr>
            <w:tcW w:w="1417"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61</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49</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512</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389</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Capacity &amp; Demand</w:t>
            </w:r>
          </w:p>
        </w:tc>
        <w:tc>
          <w:tcPr>
            <w:tcW w:w="1417" w:type="dxa"/>
            <w:shd w:val="clear" w:color="auto" w:fill="auto"/>
            <w:vAlign w:val="center"/>
          </w:tcPr>
          <w:p w:rsidR="00814098"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18</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18</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132</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117</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Carer leave</w:t>
            </w:r>
          </w:p>
        </w:tc>
        <w:tc>
          <w:tcPr>
            <w:tcW w:w="1417"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0</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814098" w:rsidRPr="002829D6" w:rsidTr="005976DA">
        <w:tc>
          <w:tcPr>
            <w:tcW w:w="2442" w:type="dxa"/>
            <w:gridSpan w:val="2"/>
            <w:shd w:val="clear" w:color="auto" w:fill="auto"/>
            <w:vAlign w:val="center"/>
          </w:tcPr>
          <w:p w:rsidR="00814098" w:rsidRDefault="0081409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Extra cover</w:t>
            </w:r>
          </w:p>
        </w:tc>
        <w:tc>
          <w:tcPr>
            <w:tcW w:w="1417" w:type="dxa"/>
            <w:shd w:val="clear" w:color="auto" w:fill="auto"/>
            <w:vAlign w:val="center"/>
          </w:tcPr>
          <w:p w:rsidR="00814098"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0</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Maternity/Paternity leave</w:t>
            </w:r>
          </w:p>
        </w:tc>
        <w:tc>
          <w:tcPr>
            <w:tcW w:w="1417"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49</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451</w:t>
            </w:r>
          </w:p>
        </w:tc>
        <w:tc>
          <w:tcPr>
            <w:tcW w:w="1468" w:type="dxa"/>
            <w:shd w:val="clear" w:color="auto" w:fill="auto"/>
            <w:vAlign w:val="center"/>
          </w:tcPr>
          <w:p w:rsidR="00814098" w:rsidRPr="002829D6" w:rsidRDefault="000F4CE8" w:rsidP="00BD5543">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486</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Sickness</w:t>
            </w:r>
          </w:p>
        </w:tc>
        <w:tc>
          <w:tcPr>
            <w:tcW w:w="1417"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109</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84</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1,194</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361</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 leave</w:t>
            </w:r>
          </w:p>
        </w:tc>
        <w:tc>
          <w:tcPr>
            <w:tcW w:w="1417" w:type="dxa"/>
            <w:shd w:val="clear" w:color="auto" w:fill="auto"/>
            <w:vAlign w:val="center"/>
          </w:tcPr>
          <w:p w:rsidR="00814098"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6</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76</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Study leave</w:t>
            </w:r>
          </w:p>
        </w:tc>
        <w:tc>
          <w:tcPr>
            <w:tcW w:w="1417"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18</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10</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225</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93</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Vacancy</w:t>
            </w:r>
          </w:p>
        </w:tc>
        <w:tc>
          <w:tcPr>
            <w:tcW w:w="1417"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6,028</w:t>
            </w:r>
          </w:p>
        </w:tc>
        <w:tc>
          <w:tcPr>
            <w:tcW w:w="1559" w:type="dxa"/>
            <w:shd w:val="clear" w:color="auto" w:fill="auto"/>
            <w:vAlign w:val="bottom"/>
          </w:tcPr>
          <w:p w:rsidR="00814098" w:rsidRPr="00814098" w:rsidRDefault="00814098" w:rsidP="00814098">
            <w:pPr>
              <w:jc w:val="center"/>
              <w:rPr>
                <w:rFonts w:ascii="Arial" w:hAnsi="Arial" w:cs="Arial"/>
                <w:color w:val="000000"/>
                <w:sz w:val="16"/>
                <w:szCs w:val="16"/>
              </w:rPr>
            </w:pPr>
            <w:r w:rsidRPr="00814098">
              <w:rPr>
                <w:rFonts w:ascii="Arial" w:hAnsi="Arial" w:cs="Arial"/>
                <w:color w:val="000000"/>
                <w:sz w:val="16"/>
                <w:szCs w:val="16"/>
              </w:rPr>
              <w:t>4</w:t>
            </w:r>
            <w:r w:rsidR="009D69DF">
              <w:rPr>
                <w:rFonts w:ascii="Arial" w:hAnsi="Arial" w:cs="Arial"/>
                <w:color w:val="000000"/>
                <w:sz w:val="16"/>
                <w:szCs w:val="16"/>
              </w:rPr>
              <w:t>,</w:t>
            </w:r>
            <w:r w:rsidRPr="00814098">
              <w:rPr>
                <w:rFonts w:ascii="Arial" w:hAnsi="Arial" w:cs="Arial"/>
                <w:color w:val="000000"/>
                <w:sz w:val="16"/>
                <w:szCs w:val="16"/>
              </w:rPr>
              <w:t>364</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57,777</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41</w:t>
            </w:r>
            <w:r w:rsidR="009D69DF">
              <w:rPr>
                <w:rFonts w:ascii="Arial" w:hAnsi="Arial" w:cs="Arial"/>
                <w:sz w:val="16"/>
                <w:szCs w:val="16"/>
              </w:rPr>
              <w:t>,</w:t>
            </w:r>
            <w:r>
              <w:rPr>
                <w:rFonts w:ascii="Arial" w:hAnsi="Arial" w:cs="Arial"/>
                <w:sz w:val="16"/>
                <w:szCs w:val="16"/>
              </w:rPr>
              <w:t>806</w:t>
            </w:r>
          </w:p>
        </w:tc>
      </w:tr>
      <w:tr w:rsidR="00814098" w:rsidRPr="002829D6" w:rsidTr="005976DA">
        <w:tc>
          <w:tcPr>
            <w:tcW w:w="2442" w:type="dxa"/>
            <w:gridSpan w:val="2"/>
            <w:shd w:val="clear" w:color="auto" w:fill="auto"/>
            <w:vAlign w:val="center"/>
          </w:tcPr>
          <w:p w:rsidR="00814098" w:rsidRPr="002829D6" w:rsidRDefault="00814098"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Total</w:t>
            </w:r>
          </w:p>
        </w:tc>
        <w:tc>
          <w:tcPr>
            <w:tcW w:w="1417"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8,682</w:t>
            </w:r>
          </w:p>
        </w:tc>
        <w:tc>
          <w:tcPr>
            <w:tcW w:w="1559" w:type="dxa"/>
            <w:shd w:val="clear" w:color="auto" w:fill="auto"/>
            <w:vAlign w:val="bottom"/>
          </w:tcPr>
          <w:p w:rsidR="00814098" w:rsidRPr="00814098" w:rsidRDefault="00814098" w:rsidP="00814098">
            <w:pPr>
              <w:jc w:val="center"/>
              <w:rPr>
                <w:rFonts w:ascii="Arial" w:hAnsi="Arial" w:cs="Arial"/>
                <w:b/>
                <w:color w:val="000000"/>
                <w:sz w:val="16"/>
                <w:szCs w:val="16"/>
              </w:rPr>
            </w:pPr>
            <w:r w:rsidRPr="00814098">
              <w:rPr>
                <w:rFonts w:ascii="Arial" w:hAnsi="Arial" w:cs="Arial"/>
                <w:b/>
                <w:color w:val="000000"/>
                <w:sz w:val="16"/>
                <w:szCs w:val="16"/>
              </w:rPr>
              <w:t>6</w:t>
            </w:r>
            <w:r w:rsidR="00961DA1">
              <w:rPr>
                <w:rFonts w:ascii="Arial" w:hAnsi="Arial" w:cs="Arial"/>
                <w:b/>
                <w:color w:val="000000"/>
                <w:sz w:val="16"/>
                <w:szCs w:val="16"/>
              </w:rPr>
              <w:t>,</w:t>
            </w:r>
            <w:r w:rsidRPr="00814098">
              <w:rPr>
                <w:rFonts w:ascii="Arial" w:hAnsi="Arial" w:cs="Arial"/>
                <w:b/>
                <w:color w:val="000000"/>
                <w:sz w:val="16"/>
                <w:szCs w:val="16"/>
              </w:rPr>
              <w:t>472</w:t>
            </w:r>
          </w:p>
        </w:tc>
        <w:tc>
          <w:tcPr>
            <w:tcW w:w="1276" w:type="dxa"/>
            <w:shd w:val="clear" w:color="auto" w:fill="auto"/>
            <w:vAlign w:val="center"/>
          </w:tcPr>
          <w:p w:rsidR="00814098" w:rsidRPr="002829D6" w:rsidRDefault="00814098"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83,888</w:t>
            </w:r>
          </w:p>
        </w:tc>
        <w:tc>
          <w:tcPr>
            <w:tcW w:w="1468" w:type="dxa"/>
            <w:shd w:val="clear" w:color="auto" w:fill="auto"/>
            <w:vAlign w:val="center"/>
          </w:tcPr>
          <w:p w:rsidR="00814098" w:rsidRPr="002829D6" w:rsidRDefault="000F4CE8"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61</w:t>
            </w:r>
            <w:r w:rsidR="00961DA1">
              <w:rPr>
                <w:rFonts w:ascii="Arial" w:hAnsi="Arial" w:cs="Arial"/>
                <w:b/>
                <w:sz w:val="16"/>
                <w:szCs w:val="16"/>
              </w:rPr>
              <w:t>,</w:t>
            </w:r>
            <w:r>
              <w:rPr>
                <w:rFonts w:ascii="Arial" w:hAnsi="Arial" w:cs="Arial"/>
                <w:b/>
                <w:sz w:val="16"/>
                <w:szCs w:val="16"/>
              </w:rPr>
              <w:t>339</w:t>
            </w:r>
          </w:p>
        </w:tc>
      </w:tr>
    </w:tbl>
    <w:p w:rsidR="00A605E6" w:rsidRDefault="00A605E6" w:rsidP="000A34EB">
      <w:pPr>
        <w:pStyle w:val="ListParagraph"/>
        <w:ind w:left="360"/>
        <w:contextualSpacing/>
        <w:jc w:val="both"/>
        <w:rPr>
          <w:rFonts w:ascii="Arial" w:hAnsi="Arial" w:cs="Arial"/>
          <w:b/>
          <w:sz w:val="21"/>
          <w:szCs w:val="21"/>
        </w:rPr>
      </w:pPr>
    </w:p>
    <w:p w:rsidR="00A605E6" w:rsidRPr="00A605E6" w:rsidRDefault="006E7BC1" w:rsidP="000A34EB">
      <w:pPr>
        <w:pStyle w:val="ListParagraph"/>
        <w:ind w:left="360"/>
        <w:contextualSpacing/>
        <w:jc w:val="both"/>
        <w:rPr>
          <w:rFonts w:ascii="Arial" w:hAnsi="Arial" w:cs="Arial"/>
          <w:sz w:val="21"/>
          <w:szCs w:val="21"/>
        </w:rPr>
      </w:pPr>
      <w:r>
        <w:rPr>
          <w:rFonts w:ascii="Arial" w:hAnsi="Arial" w:cs="Arial"/>
          <w:i/>
          <w:sz w:val="21"/>
          <w:szCs w:val="21"/>
        </w:rPr>
        <w:t xml:space="preserve">Of the </w:t>
      </w:r>
      <w:r w:rsidR="00E1065A">
        <w:rPr>
          <w:rFonts w:ascii="Arial" w:hAnsi="Arial" w:cs="Arial"/>
          <w:i/>
          <w:sz w:val="21"/>
          <w:szCs w:val="21"/>
        </w:rPr>
        <w:t xml:space="preserve">6,472 </w:t>
      </w:r>
      <w:r w:rsidR="00F9334D">
        <w:rPr>
          <w:rFonts w:ascii="Arial" w:hAnsi="Arial" w:cs="Arial"/>
          <w:i/>
          <w:sz w:val="21"/>
          <w:szCs w:val="21"/>
        </w:rPr>
        <w:t xml:space="preserve">shifts </w:t>
      </w:r>
      <w:r w:rsidR="003075C7">
        <w:rPr>
          <w:rFonts w:ascii="Arial" w:hAnsi="Arial" w:cs="Arial"/>
          <w:i/>
          <w:sz w:val="21"/>
          <w:szCs w:val="21"/>
        </w:rPr>
        <w:t xml:space="preserve">undertaken </w:t>
      </w:r>
      <w:r w:rsidR="00E93549">
        <w:rPr>
          <w:rFonts w:ascii="Arial" w:hAnsi="Arial" w:cs="Arial"/>
          <w:i/>
          <w:sz w:val="21"/>
          <w:szCs w:val="21"/>
        </w:rPr>
        <w:t xml:space="preserve">by locums, </w:t>
      </w:r>
      <w:r w:rsidR="003075C7">
        <w:rPr>
          <w:rFonts w:ascii="Arial" w:hAnsi="Arial" w:cs="Arial"/>
          <w:i/>
          <w:sz w:val="21"/>
          <w:szCs w:val="21"/>
        </w:rPr>
        <w:t>1</w:t>
      </w:r>
      <w:r w:rsidR="00961DA1">
        <w:rPr>
          <w:rFonts w:ascii="Arial" w:hAnsi="Arial" w:cs="Arial"/>
          <w:i/>
          <w:sz w:val="21"/>
          <w:szCs w:val="21"/>
        </w:rPr>
        <w:t>,</w:t>
      </w:r>
      <w:r w:rsidR="00E1065A">
        <w:rPr>
          <w:rFonts w:ascii="Arial" w:hAnsi="Arial" w:cs="Arial"/>
          <w:i/>
          <w:sz w:val="21"/>
          <w:szCs w:val="21"/>
        </w:rPr>
        <w:t>80</w:t>
      </w:r>
      <w:r w:rsidR="003075C7">
        <w:rPr>
          <w:rFonts w:ascii="Arial" w:hAnsi="Arial" w:cs="Arial"/>
          <w:i/>
          <w:sz w:val="21"/>
          <w:szCs w:val="21"/>
        </w:rPr>
        <w:t xml:space="preserve">3 </w:t>
      </w:r>
      <w:r w:rsidR="00B5659C">
        <w:rPr>
          <w:rFonts w:ascii="Arial" w:hAnsi="Arial" w:cs="Arial"/>
          <w:i/>
          <w:sz w:val="21"/>
          <w:szCs w:val="21"/>
        </w:rPr>
        <w:t>(28</w:t>
      </w:r>
      <w:r>
        <w:rPr>
          <w:rFonts w:ascii="Arial" w:hAnsi="Arial" w:cs="Arial"/>
          <w:i/>
          <w:sz w:val="21"/>
          <w:szCs w:val="21"/>
        </w:rPr>
        <w:t>%</w:t>
      </w:r>
      <w:r w:rsidR="00B5659C">
        <w:rPr>
          <w:rFonts w:ascii="Arial" w:hAnsi="Arial" w:cs="Arial"/>
          <w:i/>
          <w:sz w:val="21"/>
          <w:szCs w:val="21"/>
        </w:rPr>
        <w:t>)</w:t>
      </w:r>
      <w:r w:rsidR="00B5659C" w:rsidRPr="00A605E6">
        <w:rPr>
          <w:rFonts w:ascii="Arial" w:hAnsi="Arial" w:cs="Arial"/>
          <w:i/>
          <w:sz w:val="21"/>
          <w:szCs w:val="21"/>
        </w:rPr>
        <w:t xml:space="preserve"> </w:t>
      </w:r>
      <w:r w:rsidR="00B5659C">
        <w:rPr>
          <w:rFonts w:ascii="Arial" w:hAnsi="Arial" w:cs="Arial"/>
          <w:i/>
          <w:sz w:val="21"/>
          <w:szCs w:val="21"/>
        </w:rPr>
        <w:t>were</w:t>
      </w:r>
      <w:r w:rsidR="00A605E6" w:rsidRPr="00A605E6">
        <w:rPr>
          <w:rFonts w:ascii="Arial" w:hAnsi="Arial" w:cs="Arial"/>
          <w:i/>
          <w:sz w:val="21"/>
          <w:szCs w:val="21"/>
        </w:rPr>
        <w:t xml:space="preserve"> provided by agency st</w:t>
      </w:r>
      <w:r w:rsidR="00E93549">
        <w:rPr>
          <w:rFonts w:ascii="Arial" w:hAnsi="Arial" w:cs="Arial"/>
          <w:i/>
          <w:sz w:val="21"/>
          <w:szCs w:val="21"/>
        </w:rPr>
        <w:t xml:space="preserve">aff and the remaining </w:t>
      </w:r>
      <w:r w:rsidR="003075C7">
        <w:rPr>
          <w:rFonts w:ascii="Arial" w:hAnsi="Arial" w:cs="Arial"/>
          <w:i/>
          <w:sz w:val="21"/>
          <w:szCs w:val="21"/>
        </w:rPr>
        <w:t>4</w:t>
      </w:r>
      <w:r w:rsidR="00961DA1">
        <w:rPr>
          <w:rFonts w:ascii="Arial" w:hAnsi="Arial" w:cs="Arial"/>
          <w:i/>
          <w:sz w:val="21"/>
          <w:szCs w:val="21"/>
        </w:rPr>
        <w:t>,</w:t>
      </w:r>
      <w:r w:rsidR="003075C7">
        <w:rPr>
          <w:rFonts w:ascii="Arial" w:hAnsi="Arial" w:cs="Arial"/>
          <w:i/>
          <w:sz w:val="21"/>
          <w:szCs w:val="21"/>
        </w:rPr>
        <w:t>669 (72%</w:t>
      </w:r>
      <w:r w:rsidR="00C93162">
        <w:rPr>
          <w:rFonts w:ascii="Arial" w:hAnsi="Arial" w:cs="Arial"/>
          <w:i/>
          <w:sz w:val="21"/>
          <w:szCs w:val="21"/>
        </w:rPr>
        <w:t>)</w:t>
      </w:r>
      <w:r w:rsidR="00F716C6">
        <w:rPr>
          <w:rFonts w:ascii="Arial" w:hAnsi="Arial" w:cs="Arial"/>
          <w:i/>
          <w:sz w:val="21"/>
          <w:szCs w:val="21"/>
        </w:rPr>
        <w:t xml:space="preserve"> </w:t>
      </w:r>
      <w:r w:rsidR="00A605E6" w:rsidRPr="00A605E6">
        <w:rPr>
          <w:rFonts w:ascii="Arial" w:hAnsi="Arial" w:cs="Arial"/>
          <w:i/>
          <w:sz w:val="21"/>
          <w:szCs w:val="21"/>
        </w:rPr>
        <w:t>by bank staff.</w:t>
      </w:r>
    </w:p>
    <w:p w:rsidR="00A605E6" w:rsidRDefault="00A605E6"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Default="00A70F00" w:rsidP="00E1139E">
      <w:pPr>
        <w:pStyle w:val="ListParagraph"/>
        <w:ind w:left="0"/>
        <w:contextualSpacing/>
        <w:jc w:val="both"/>
        <w:rPr>
          <w:rFonts w:ascii="Arial" w:hAnsi="Arial" w:cs="Arial"/>
          <w:sz w:val="16"/>
          <w:szCs w:val="16"/>
        </w:rPr>
      </w:pPr>
    </w:p>
    <w:p w:rsidR="0074454E" w:rsidRDefault="0074454E" w:rsidP="00E1139E">
      <w:pPr>
        <w:pStyle w:val="ListParagraph"/>
        <w:ind w:left="0"/>
        <w:contextualSpacing/>
        <w:jc w:val="both"/>
        <w:rPr>
          <w:rFonts w:ascii="Arial" w:hAnsi="Arial" w:cs="Arial"/>
          <w:sz w:val="16"/>
          <w:szCs w:val="16"/>
        </w:rPr>
      </w:pPr>
    </w:p>
    <w:p w:rsidR="00A70F00" w:rsidRDefault="00A70F00" w:rsidP="000A34EB">
      <w:pPr>
        <w:pStyle w:val="ListParagraph"/>
        <w:ind w:left="360"/>
        <w:contextualSpacing/>
        <w:jc w:val="both"/>
        <w:rPr>
          <w:rFonts w:ascii="Arial" w:hAnsi="Arial" w:cs="Arial"/>
          <w:sz w:val="16"/>
          <w:szCs w:val="16"/>
        </w:rPr>
      </w:pPr>
    </w:p>
    <w:p w:rsidR="00A70F00" w:rsidRPr="006E7951" w:rsidRDefault="00A70F00" w:rsidP="00E1139E">
      <w:pPr>
        <w:pStyle w:val="ListParagraph"/>
        <w:ind w:left="0"/>
        <w:contextualSpacing/>
        <w:jc w:val="both"/>
        <w:rPr>
          <w:rFonts w:ascii="Arial" w:hAnsi="Arial" w:cs="Arial"/>
          <w:i/>
          <w:sz w:val="16"/>
          <w:szCs w:val="16"/>
        </w:rPr>
      </w:pPr>
    </w:p>
    <w:p w:rsidR="000A34EB" w:rsidRDefault="00A605E6" w:rsidP="008A56F1">
      <w:pPr>
        <w:pStyle w:val="ListParagraph"/>
        <w:numPr>
          <w:ilvl w:val="0"/>
          <w:numId w:val="4"/>
        </w:numPr>
        <w:contextualSpacing/>
        <w:jc w:val="both"/>
        <w:rPr>
          <w:rFonts w:ascii="Arial" w:hAnsi="Arial" w:cs="Arial"/>
          <w:b/>
          <w:sz w:val="21"/>
          <w:szCs w:val="21"/>
        </w:rPr>
      </w:pPr>
      <w:r>
        <w:rPr>
          <w:rFonts w:ascii="Arial" w:hAnsi="Arial" w:cs="Arial"/>
          <w:b/>
          <w:sz w:val="21"/>
          <w:szCs w:val="21"/>
        </w:rPr>
        <w:t>Establishment figures and va</w:t>
      </w:r>
      <w:r w:rsidR="00C93162">
        <w:rPr>
          <w:rFonts w:ascii="Arial" w:hAnsi="Arial" w:cs="Arial"/>
          <w:b/>
          <w:sz w:val="21"/>
          <w:szCs w:val="21"/>
        </w:rPr>
        <w:t xml:space="preserve">cancies each month (Period </w:t>
      </w:r>
      <w:r w:rsidR="00775B8B">
        <w:rPr>
          <w:rFonts w:ascii="Arial" w:hAnsi="Arial" w:cs="Arial"/>
          <w:b/>
          <w:sz w:val="21"/>
          <w:szCs w:val="21"/>
        </w:rPr>
        <w:t xml:space="preserve"> 01/07/19 – 30/09</w:t>
      </w:r>
      <w:r w:rsidR="00AA6FA6">
        <w:rPr>
          <w:rFonts w:ascii="Arial" w:hAnsi="Arial" w:cs="Arial"/>
          <w:b/>
          <w:sz w:val="21"/>
          <w:szCs w:val="21"/>
        </w:rPr>
        <w:t>/19</w:t>
      </w:r>
      <w:r>
        <w:rPr>
          <w:rFonts w:ascii="Arial" w:hAnsi="Arial" w:cs="Arial"/>
          <w:b/>
          <w:sz w:val="21"/>
          <w:szCs w:val="21"/>
        </w:rPr>
        <w:t>)</w:t>
      </w:r>
    </w:p>
    <w:p w:rsidR="00A47E7E" w:rsidRDefault="00A47E7E" w:rsidP="00A605E6">
      <w:pPr>
        <w:pStyle w:val="ListParagraph"/>
        <w:ind w:left="360"/>
        <w:contextualSpacing/>
        <w:jc w:val="both"/>
        <w:rPr>
          <w:rFonts w:ascii="Arial" w:hAnsi="Arial" w:cs="Arial"/>
          <w:sz w:val="21"/>
          <w:szCs w:val="21"/>
        </w:rPr>
      </w:pPr>
    </w:p>
    <w:p w:rsidR="00A605E6" w:rsidRPr="006E7951" w:rsidRDefault="006E7951" w:rsidP="00A605E6">
      <w:pPr>
        <w:pStyle w:val="ListParagraph"/>
        <w:ind w:left="360"/>
        <w:contextualSpacing/>
        <w:jc w:val="both"/>
        <w:rPr>
          <w:rFonts w:ascii="Arial" w:hAnsi="Arial" w:cs="Arial"/>
          <w:sz w:val="21"/>
          <w:szCs w:val="21"/>
        </w:rPr>
      </w:pPr>
      <w:r w:rsidRPr="006E7951">
        <w:rPr>
          <w:rFonts w:ascii="Arial" w:hAnsi="Arial" w:cs="Arial"/>
          <w:sz w:val="21"/>
          <w:szCs w:val="21"/>
        </w:rPr>
        <w:t>Please note</w:t>
      </w:r>
      <w:r>
        <w:rPr>
          <w:rFonts w:ascii="Arial" w:hAnsi="Arial" w:cs="Arial"/>
          <w:sz w:val="21"/>
          <w:szCs w:val="21"/>
        </w:rPr>
        <w:t xml:space="preserve"> that the data below relates only to doctors in training</w:t>
      </w:r>
      <w:r w:rsidR="00A47E7E">
        <w:rPr>
          <w:rFonts w:ascii="Arial" w:hAnsi="Arial" w:cs="Arial"/>
          <w:sz w:val="21"/>
          <w:szCs w:val="21"/>
        </w:rPr>
        <w:t xml:space="preserve"> and as such only pro</w:t>
      </w:r>
      <w:r w:rsidR="00280E0A">
        <w:rPr>
          <w:rFonts w:ascii="Arial" w:hAnsi="Arial" w:cs="Arial"/>
          <w:sz w:val="21"/>
          <w:szCs w:val="21"/>
        </w:rPr>
        <w:t>vides</w:t>
      </w:r>
      <w:r w:rsidR="00A47E7E">
        <w:rPr>
          <w:rFonts w:ascii="Arial" w:hAnsi="Arial" w:cs="Arial"/>
          <w:sz w:val="21"/>
          <w:szCs w:val="21"/>
        </w:rPr>
        <w:t xml:space="preserve"> part of the </w:t>
      </w:r>
      <w:r w:rsidR="00E1139E">
        <w:rPr>
          <w:rFonts w:ascii="Arial" w:hAnsi="Arial" w:cs="Arial"/>
          <w:sz w:val="21"/>
          <w:szCs w:val="21"/>
        </w:rPr>
        <w:t>va</w:t>
      </w:r>
      <w:r w:rsidR="00280E0A">
        <w:rPr>
          <w:rFonts w:ascii="Arial" w:hAnsi="Arial" w:cs="Arial"/>
          <w:sz w:val="21"/>
          <w:szCs w:val="21"/>
        </w:rPr>
        <w:t xml:space="preserve">cancy </w:t>
      </w:r>
      <w:r w:rsidR="00A47E7E">
        <w:rPr>
          <w:rFonts w:ascii="Arial" w:hAnsi="Arial" w:cs="Arial"/>
          <w:sz w:val="21"/>
          <w:szCs w:val="21"/>
        </w:rPr>
        <w:t>picture across the Trust</w:t>
      </w:r>
      <w:r w:rsidR="00280E0A">
        <w:rPr>
          <w:rFonts w:ascii="Arial" w:hAnsi="Arial" w:cs="Arial"/>
          <w:sz w:val="21"/>
          <w:szCs w:val="21"/>
        </w:rPr>
        <w:t>.</w:t>
      </w:r>
    </w:p>
    <w:p w:rsidR="006E7951" w:rsidRDefault="00E1065A" w:rsidP="00A605E6">
      <w:pPr>
        <w:pStyle w:val="ListParagraph"/>
        <w:ind w:left="360"/>
        <w:contextualSpacing/>
        <w:jc w:val="both"/>
        <w:rPr>
          <w:rFonts w:ascii="Arial" w:hAnsi="Arial" w:cs="Arial"/>
          <w:sz w:val="21"/>
          <w:szCs w:val="21"/>
        </w:rPr>
      </w:pPr>
      <w:r>
        <w:rPr>
          <w:rFonts w:ascii="Arial" w:hAnsi="Arial" w:cs="Arial"/>
          <w:sz w:val="21"/>
          <w:szCs w:val="21"/>
        </w:rPr>
        <w:t xml:space="preserve">Use </w:t>
      </w:r>
      <w:r w:rsidR="003075C7">
        <w:rPr>
          <w:rFonts w:ascii="Arial" w:hAnsi="Arial" w:cs="Arial"/>
          <w:sz w:val="21"/>
          <w:szCs w:val="21"/>
        </w:rPr>
        <w:t xml:space="preserve">of the Allocate </w:t>
      </w:r>
      <w:r>
        <w:rPr>
          <w:rFonts w:ascii="Arial" w:hAnsi="Arial" w:cs="Arial"/>
          <w:sz w:val="21"/>
          <w:szCs w:val="21"/>
        </w:rPr>
        <w:t xml:space="preserve">software for rosters across MFT </w:t>
      </w:r>
      <w:r w:rsidR="003075C7">
        <w:rPr>
          <w:rFonts w:ascii="Arial" w:hAnsi="Arial" w:cs="Arial"/>
          <w:sz w:val="21"/>
          <w:szCs w:val="21"/>
        </w:rPr>
        <w:t>will</w:t>
      </w:r>
      <w:r w:rsidR="00E6256D">
        <w:rPr>
          <w:rFonts w:ascii="Arial" w:hAnsi="Arial" w:cs="Arial"/>
          <w:sz w:val="21"/>
          <w:szCs w:val="21"/>
        </w:rPr>
        <w:t xml:space="preserve"> also</w:t>
      </w:r>
      <w:r w:rsidR="003075C7">
        <w:rPr>
          <w:rFonts w:ascii="Arial" w:hAnsi="Arial" w:cs="Arial"/>
          <w:sz w:val="21"/>
          <w:szCs w:val="21"/>
        </w:rPr>
        <w:t xml:space="preserve"> </w:t>
      </w:r>
      <w:r>
        <w:rPr>
          <w:rFonts w:ascii="Arial" w:hAnsi="Arial" w:cs="Arial"/>
          <w:sz w:val="21"/>
          <w:szCs w:val="21"/>
        </w:rPr>
        <w:t xml:space="preserve">enable the number of vacancies for </w:t>
      </w:r>
      <w:r w:rsidR="000F0BAA">
        <w:rPr>
          <w:rFonts w:ascii="Arial" w:hAnsi="Arial" w:cs="Arial"/>
          <w:sz w:val="21"/>
          <w:szCs w:val="21"/>
        </w:rPr>
        <w:t>non-training</w:t>
      </w:r>
      <w:r w:rsidR="00A47E7E">
        <w:rPr>
          <w:rFonts w:ascii="Arial" w:hAnsi="Arial" w:cs="Arial"/>
          <w:sz w:val="21"/>
          <w:szCs w:val="21"/>
        </w:rPr>
        <w:t xml:space="preserve"> grade doctors</w:t>
      </w:r>
      <w:r>
        <w:rPr>
          <w:rFonts w:ascii="Arial" w:hAnsi="Arial" w:cs="Arial"/>
          <w:sz w:val="21"/>
          <w:szCs w:val="21"/>
        </w:rPr>
        <w:t xml:space="preserve"> to be captured and </w:t>
      </w:r>
      <w:r w:rsidR="003075C7">
        <w:rPr>
          <w:rFonts w:ascii="Arial" w:hAnsi="Arial" w:cs="Arial"/>
          <w:sz w:val="21"/>
          <w:szCs w:val="21"/>
        </w:rPr>
        <w:t xml:space="preserve">included in this report. </w:t>
      </w:r>
      <w:r>
        <w:rPr>
          <w:rFonts w:ascii="Arial" w:hAnsi="Arial" w:cs="Arial"/>
          <w:sz w:val="21"/>
          <w:szCs w:val="21"/>
        </w:rPr>
        <w:t xml:space="preserve">I understand that full rollout of </w:t>
      </w:r>
      <w:r w:rsidR="00B5659C">
        <w:rPr>
          <w:rFonts w:ascii="Arial" w:hAnsi="Arial" w:cs="Arial"/>
          <w:sz w:val="21"/>
          <w:szCs w:val="21"/>
        </w:rPr>
        <w:t>this module</w:t>
      </w:r>
      <w:r w:rsidR="00E6256D" w:rsidRPr="00E6256D">
        <w:rPr>
          <w:rFonts w:ascii="Arial" w:hAnsi="Arial" w:cs="Arial"/>
          <w:sz w:val="21"/>
          <w:szCs w:val="21"/>
        </w:rPr>
        <w:t xml:space="preserve"> </w:t>
      </w:r>
      <w:r w:rsidR="00E6256D">
        <w:rPr>
          <w:rFonts w:ascii="Arial" w:hAnsi="Arial" w:cs="Arial"/>
          <w:sz w:val="21"/>
          <w:szCs w:val="21"/>
        </w:rPr>
        <w:t>will be completed by March 2020.</w:t>
      </w:r>
    </w:p>
    <w:p w:rsidR="00A47E7E" w:rsidRPr="00A47E7E" w:rsidRDefault="00A47E7E" w:rsidP="00A605E6">
      <w:pPr>
        <w:pStyle w:val="ListParagraph"/>
        <w:ind w:left="36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59"/>
        <w:gridCol w:w="1950"/>
        <w:gridCol w:w="1310"/>
        <w:gridCol w:w="914"/>
        <w:gridCol w:w="915"/>
        <w:gridCol w:w="915"/>
      </w:tblGrid>
      <w:tr w:rsidR="00A605E6" w:rsidRPr="002829D6" w:rsidTr="002829D6">
        <w:tc>
          <w:tcPr>
            <w:tcW w:w="599" w:type="dxa"/>
            <w:tcBorders>
              <w:right w:val="nil"/>
            </w:tcBorders>
            <w:shd w:val="clear" w:color="auto" w:fill="BFBFBF"/>
          </w:tcPr>
          <w:p w:rsidR="00A605E6" w:rsidRPr="002829D6" w:rsidRDefault="00A605E6" w:rsidP="002829D6">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t>6.1</w:t>
            </w:r>
          </w:p>
        </w:tc>
        <w:tc>
          <w:tcPr>
            <w:tcW w:w="7563" w:type="dxa"/>
            <w:gridSpan w:val="6"/>
            <w:tcBorders>
              <w:left w:val="nil"/>
            </w:tcBorders>
            <w:shd w:val="clear" w:color="auto" w:fill="BFBFBF"/>
            <w:vAlign w:val="center"/>
          </w:tcPr>
          <w:p w:rsidR="00A605E6" w:rsidRPr="002829D6" w:rsidRDefault="00A605E6" w:rsidP="004B31E8">
            <w:pPr>
              <w:pStyle w:val="ListParagraph"/>
              <w:spacing w:before="60" w:after="60" w:line="240" w:lineRule="auto"/>
              <w:ind w:left="0"/>
              <w:contextualSpacing/>
              <w:rPr>
                <w:rFonts w:ascii="Arial" w:hAnsi="Arial" w:cs="Arial"/>
                <w:b/>
                <w:i/>
                <w:sz w:val="21"/>
                <w:szCs w:val="21"/>
              </w:rPr>
            </w:pPr>
            <w:r w:rsidRPr="002829D6">
              <w:rPr>
                <w:rFonts w:ascii="Arial" w:hAnsi="Arial" w:cs="Arial"/>
                <w:b/>
                <w:sz w:val="21"/>
                <w:szCs w:val="21"/>
              </w:rPr>
              <w:t xml:space="preserve">Oxford Road Campus                                        </w:t>
            </w:r>
          </w:p>
        </w:tc>
      </w:tr>
      <w:tr w:rsidR="00B5718D" w:rsidRPr="002829D6" w:rsidTr="002829D6">
        <w:tc>
          <w:tcPr>
            <w:tcW w:w="2158" w:type="dxa"/>
            <w:gridSpan w:val="2"/>
            <w:vMerge w:val="restart"/>
            <w:shd w:val="clear" w:color="auto" w:fill="auto"/>
            <w:vAlign w:val="center"/>
          </w:tcPr>
          <w:p w:rsidR="00B5718D" w:rsidRPr="002829D6" w:rsidRDefault="00B5718D" w:rsidP="002829D6">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950" w:type="dxa"/>
            <w:vMerge w:val="restart"/>
            <w:shd w:val="clear" w:color="auto" w:fill="auto"/>
            <w:vAlign w:val="center"/>
          </w:tcPr>
          <w:p w:rsidR="00B5718D" w:rsidRPr="002829D6" w:rsidRDefault="00B5718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Grade</w:t>
            </w:r>
          </w:p>
        </w:tc>
        <w:tc>
          <w:tcPr>
            <w:tcW w:w="1310" w:type="dxa"/>
            <w:vMerge w:val="restart"/>
            <w:shd w:val="clear" w:color="auto" w:fill="auto"/>
            <w:vAlign w:val="center"/>
          </w:tcPr>
          <w:p w:rsidR="00B5718D" w:rsidRPr="002829D6" w:rsidRDefault="00B5718D" w:rsidP="002829D6">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Establishment</w:t>
            </w:r>
          </w:p>
        </w:tc>
        <w:tc>
          <w:tcPr>
            <w:tcW w:w="2744" w:type="dxa"/>
            <w:gridSpan w:val="3"/>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 xml:space="preserve">Vacancies </w:t>
            </w:r>
          </w:p>
        </w:tc>
      </w:tr>
      <w:tr w:rsidR="00B5718D" w:rsidRPr="002829D6" w:rsidTr="002829D6">
        <w:tc>
          <w:tcPr>
            <w:tcW w:w="2158" w:type="dxa"/>
            <w:gridSpan w:val="2"/>
            <w:vMerge/>
            <w:shd w:val="clear" w:color="auto" w:fill="auto"/>
            <w:vAlign w:val="center"/>
          </w:tcPr>
          <w:p w:rsidR="00B5718D" w:rsidRPr="002829D6" w:rsidRDefault="00B5718D" w:rsidP="002829D6">
            <w:pPr>
              <w:pStyle w:val="ListParagraph"/>
              <w:spacing w:before="60" w:after="60" w:line="240" w:lineRule="auto"/>
              <w:ind w:left="0"/>
              <w:contextualSpacing/>
              <w:rPr>
                <w:rFonts w:ascii="Arial" w:hAnsi="Arial" w:cs="Arial"/>
                <w:sz w:val="16"/>
                <w:szCs w:val="16"/>
              </w:rPr>
            </w:pPr>
          </w:p>
        </w:tc>
        <w:tc>
          <w:tcPr>
            <w:tcW w:w="1950" w:type="dxa"/>
            <w:vMerge/>
            <w:shd w:val="clear" w:color="auto" w:fill="auto"/>
            <w:vAlign w:val="center"/>
          </w:tcPr>
          <w:p w:rsidR="00B5718D" w:rsidRPr="002829D6" w:rsidRDefault="00B5718D" w:rsidP="002829D6">
            <w:pPr>
              <w:pStyle w:val="ListParagraph"/>
              <w:spacing w:before="60" w:after="60" w:line="240" w:lineRule="auto"/>
              <w:ind w:left="0"/>
              <w:contextualSpacing/>
              <w:jc w:val="center"/>
              <w:rPr>
                <w:rFonts w:ascii="Arial" w:hAnsi="Arial" w:cs="Arial"/>
                <w:sz w:val="16"/>
                <w:szCs w:val="16"/>
              </w:rPr>
            </w:pPr>
          </w:p>
        </w:tc>
        <w:tc>
          <w:tcPr>
            <w:tcW w:w="1310" w:type="dxa"/>
            <w:vMerge/>
            <w:shd w:val="clear" w:color="auto" w:fill="auto"/>
            <w:vAlign w:val="center"/>
          </w:tcPr>
          <w:p w:rsidR="00B5718D" w:rsidRPr="002829D6" w:rsidRDefault="00B5718D" w:rsidP="002829D6">
            <w:pPr>
              <w:pStyle w:val="ListParagraph"/>
              <w:spacing w:before="60" w:after="60" w:line="240" w:lineRule="auto"/>
              <w:ind w:left="0"/>
              <w:contextualSpacing/>
              <w:jc w:val="center"/>
              <w:rPr>
                <w:rFonts w:ascii="Arial" w:hAnsi="Arial" w:cs="Arial"/>
                <w:sz w:val="16"/>
                <w:szCs w:val="16"/>
              </w:rPr>
            </w:pPr>
          </w:p>
        </w:tc>
        <w:tc>
          <w:tcPr>
            <w:tcW w:w="914" w:type="dxa"/>
            <w:shd w:val="clear" w:color="auto" w:fill="auto"/>
            <w:vAlign w:val="center"/>
          </w:tcPr>
          <w:p w:rsidR="00B5718D" w:rsidRPr="002829D6" w:rsidRDefault="005C2C33"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July</w:t>
            </w:r>
          </w:p>
        </w:tc>
        <w:tc>
          <w:tcPr>
            <w:tcW w:w="915" w:type="dxa"/>
            <w:shd w:val="clear" w:color="auto" w:fill="auto"/>
            <w:vAlign w:val="center"/>
          </w:tcPr>
          <w:p w:rsidR="00B5718D" w:rsidRPr="002829D6" w:rsidRDefault="005C2C33"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Aug</w:t>
            </w:r>
          </w:p>
        </w:tc>
        <w:tc>
          <w:tcPr>
            <w:tcW w:w="915" w:type="dxa"/>
            <w:shd w:val="clear" w:color="auto" w:fill="auto"/>
            <w:vAlign w:val="center"/>
          </w:tcPr>
          <w:p w:rsidR="00B5718D" w:rsidRPr="002829D6" w:rsidRDefault="005C2C33" w:rsidP="002829D6">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Sept</w:t>
            </w:r>
          </w:p>
        </w:tc>
      </w:tr>
      <w:tr w:rsidR="00B5718D" w:rsidRPr="002829D6" w:rsidTr="002829D6">
        <w:tc>
          <w:tcPr>
            <w:tcW w:w="2158" w:type="dxa"/>
            <w:gridSpan w:val="2"/>
            <w:shd w:val="clear" w:color="auto" w:fill="auto"/>
            <w:vAlign w:val="center"/>
          </w:tcPr>
          <w:p w:rsidR="00B5718D" w:rsidRPr="002829D6" w:rsidRDefault="00B5718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Academic</w:t>
            </w:r>
          </w:p>
        </w:tc>
        <w:tc>
          <w:tcPr>
            <w:tcW w:w="1950" w:type="dxa"/>
            <w:shd w:val="clear" w:color="auto" w:fill="auto"/>
            <w:vAlign w:val="center"/>
          </w:tcPr>
          <w:p w:rsidR="00B5718D" w:rsidRPr="002829D6" w:rsidRDefault="00B5718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Foundation Year 2</w:t>
            </w:r>
          </w:p>
        </w:tc>
        <w:tc>
          <w:tcPr>
            <w:tcW w:w="1310" w:type="dxa"/>
            <w:shd w:val="clear" w:color="auto" w:fill="auto"/>
            <w:vAlign w:val="center"/>
          </w:tcPr>
          <w:p w:rsidR="00B5718D" w:rsidRPr="002829D6" w:rsidRDefault="00091BBB"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5718D" w:rsidRPr="002829D6" w:rsidTr="00A70F00">
        <w:tc>
          <w:tcPr>
            <w:tcW w:w="2158" w:type="dxa"/>
            <w:gridSpan w:val="2"/>
            <w:shd w:val="clear" w:color="auto" w:fill="auto"/>
            <w:vAlign w:val="center"/>
          </w:tcPr>
          <w:p w:rsidR="00B5718D" w:rsidRPr="002829D6" w:rsidRDefault="00B5718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ACCS Anaesthetics</w:t>
            </w:r>
          </w:p>
        </w:tc>
        <w:tc>
          <w:tcPr>
            <w:tcW w:w="1950" w:type="dxa"/>
            <w:shd w:val="clear" w:color="auto" w:fill="auto"/>
            <w:vAlign w:val="center"/>
          </w:tcPr>
          <w:p w:rsidR="00B5718D" w:rsidRPr="002829D6" w:rsidRDefault="00B5718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Specialty Training Level 1/2: CT2</w:t>
            </w:r>
          </w:p>
        </w:tc>
        <w:tc>
          <w:tcPr>
            <w:tcW w:w="1310" w:type="dxa"/>
            <w:shd w:val="clear" w:color="auto" w:fill="auto"/>
            <w:vAlign w:val="center"/>
          </w:tcPr>
          <w:p w:rsidR="00B5718D" w:rsidRPr="002829D6" w:rsidRDefault="00B5718D" w:rsidP="002829D6">
            <w:pPr>
              <w:pStyle w:val="ListParagraph"/>
              <w:spacing w:before="60" w:after="60" w:line="240" w:lineRule="auto"/>
              <w:ind w:left="0"/>
              <w:contextualSpacing/>
              <w:jc w:val="center"/>
              <w:rPr>
                <w:rFonts w:ascii="Arial" w:hAnsi="Arial" w:cs="Arial"/>
                <w:sz w:val="16"/>
                <w:szCs w:val="16"/>
              </w:rPr>
            </w:pPr>
            <w:r w:rsidRPr="002829D6">
              <w:rPr>
                <w:rFonts w:ascii="Arial" w:hAnsi="Arial" w:cs="Arial"/>
                <w:sz w:val="16"/>
                <w:szCs w:val="16"/>
              </w:rPr>
              <w:t>4.0</w:t>
            </w:r>
          </w:p>
        </w:tc>
        <w:tc>
          <w:tcPr>
            <w:tcW w:w="914"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5718D" w:rsidRPr="002829D6" w:rsidTr="00A70F00">
        <w:tc>
          <w:tcPr>
            <w:tcW w:w="2158" w:type="dxa"/>
            <w:gridSpan w:val="2"/>
            <w:shd w:val="clear" w:color="auto" w:fill="auto"/>
            <w:vAlign w:val="center"/>
          </w:tcPr>
          <w:p w:rsidR="00B5718D" w:rsidRPr="002829D6" w:rsidRDefault="00B5718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ACCS EM</w:t>
            </w:r>
          </w:p>
        </w:tc>
        <w:tc>
          <w:tcPr>
            <w:tcW w:w="1950" w:type="dxa"/>
            <w:shd w:val="clear" w:color="auto" w:fill="auto"/>
            <w:vAlign w:val="center"/>
          </w:tcPr>
          <w:p w:rsidR="00B5718D" w:rsidRPr="002829D6" w:rsidRDefault="00B5718D" w:rsidP="002829D6">
            <w:pPr>
              <w:pStyle w:val="ListParagraph"/>
              <w:spacing w:before="60" w:after="60" w:line="240" w:lineRule="auto"/>
              <w:ind w:left="0"/>
              <w:contextualSpacing/>
              <w:rPr>
                <w:rFonts w:ascii="Arial" w:hAnsi="Arial" w:cs="Arial"/>
                <w:sz w:val="16"/>
                <w:szCs w:val="16"/>
              </w:rPr>
            </w:pPr>
            <w:r w:rsidRPr="002829D6">
              <w:rPr>
                <w:rFonts w:ascii="Arial" w:hAnsi="Arial" w:cs="Arial"/>
                <w:sz w:val="16"/>
                <w:szCs w:val="16"/>
              </w:rPr>
              <w:t>Specialty Training Level 1/2: CT1</w:t>
            </w:r>
          </w:p>
        </w:tc>
        <w:tc>
          <w:tcPr>
            <w:tcW w:w="1310" w:type="dxa"/>
            <w:shd w:val="clear" w:color="auto" w:fill="auto"/>
            <w:vAlign w:val="center"/>
          </w:tcPr>
          <w:p w:rsidR="00B5718D" w:rsidRPr="002829D6" w:rsidRDefault="00B5718D" w:rsidP="002829D6">
            <w:pPr>
              <w:pStyle w:val="ListParagraph"/>
              <w:spacing w:before="60" w:after="60" w:line="240" w:lineRule="auto"/>
              <w:ind w:left="0"/>
              <w:contextualSpacing/>
              <w:jc w:val="center"/>
              <w:rPr>
                <w:rFonts w:ascii="Arial" w:hAnsi="Arial" w:cs="Arial"/>
                <w:sz w:val="16"/>
                <w:szCs w:val="16"/>
              </w:rPr>
            </w:pPr>
            <w:r w:rsidRPr="002829D6">
              <w:rPr>
                <w:rFonts w:ascii="Arial" w:hAnsi="Arial" w:cs="Arial"/>
                <w:sz w:val="16"/>
                <w:szCs w:val="16"/>
              </w:rPr>
              <w:t>3.0</w:t>
            </w:r>
          </w:p>
        </w:tc>
        <w:tc>
          <w:tcPr>
            <w:tcW w:w="914"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5718D" w:rsidRPr="002829D6" w:rsidTr="002829D6">
        <w:tc>
          <w:tcPr>
            <w:tcW w:w="2158" w:type="dxa"/>
            <w:gridSpan w:val="2"/>
            <w:shd w:val="clear" w:color="auto" w:fill="auto"/>
            <w:vAlign w:val="center"/>
          </w:tcPr>
          <w:p w:rsidR="00B5718D" w:rsidRPr="002829D6"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ACCS ICM</w:t>
            </w:r>
          </w:p>
        </w:tc>
        <w:tc>
          <w:tcPr>
            <w:tcW w:w="1950" w:type="dxa"/>
            <w:shd w:val="clear" w:color="auto" w:fill="auto"/>
            <w:vAlign w:val="center"/>
          </w:tcPr>
          <w:p w:rsidR="00B5718D" w:rsidRPr="002829D6"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2</w:t>
            </w:r>
          </w:p>
        </w:tc>
        <w:tc>
          <w:tcPr>
            <w:tcW w:w="1310" w:type="dxa"/>
            <w:shd w:val="clear" w:color="auto" w:fill="auto"/>
            <w:vAlign w:val="center"/>
          </w:tcPr>
          <w:p w:rsidR="00B5718D" w:rsidRPr="002829D6" w:rsidRDefault="00B8038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5718D" w:rsidRPr="002829D6"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8038C" w:rsidRPr="002829D6" w:rsidTr="00A70F00">
        <w:tc>
          <w:tcPr>
            <w:tcW w:w="2158" w:type="dxa"/>
            <w:gridSpan w:val="2"/>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ACCS Medicine</w:t>
            </w:r>
          </w:p>
        </w:tc>
        <w:tc>
          <w:tcPr>
            <w:tcW w:w="1950" w:type="dxa"/>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w:t>
            </w:r>
          </w:p>
        </w:tc>
        <w:tc>
          <w:tcPr>
            <w:tcW w:w="1310" w:type="dxa"/>
            <w:shd w:val="clear" w:color="auto" w:fill="auto"/>
            <w:vAlign w:val="center"/>
          </w:tcPr>
          <w:p w:rsidR="00B8038C" w:rsidRDefault="00B8038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8038C" w:rsidRPr="002829D6" w:rsidTr="002829D6">
        <w:tc>
          <w:tcPr>
            <w:tcW w:w="2158" w:type="dxa"/>
            <w:gridSpan w:val="2"/>
            <w:vMerge w:val="restart"/>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Acute Internal Medicine</w:t>
            </w:r>
          </w:p>
        </w:tc>
        <w:tc>
          <w:tcPr>
            <w:tcW w:w="1950" w:type="dxa"/>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B8038C" w:rsidRDefault="00B8038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8038C" w:rsidRPr="002829D6" w:rsidTr="00A70F00">
        <w:tc>
          <w:tcPr>
            <w:tcW w:w="2158" w:type="dxa"/>
            <w:gridSpan w:val="2"/>
            <w:vMerge/>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SpR/Speciality Trainee Level 3+</w:t>
            </w:r>
          </w:p>
        </w:tc>
        <w:tc>
          <w:tcPr>
            <w:tcW w:w="1310" w:type="dxa"/>
            <w:shd w:val="clear" w:color="auto" w:fill="auto"/>
            <w:vAlign w:val="center"/>
          </w:tcPr>
          <w:p w:rsidR="00B8038C" w:rsidRDefault="00B8038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8038C" w:rsidRPr="002829D6" w:rsidTr="002829D6">
        <w:tc>
          <w:tcPr>
            <w:tcW w:w="2158" w:type="dxa"/>
            <w:gridSpan w:val="2"/>
            <w:vMerge w:val="restart"/>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Anaesthetics</w:t>
            </w:r>
          </w:p>
        </w:tc>
        <w:tc>
          <w:tcPr>
            <w:tcW w:w="1950" w:type="dxa"/>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B8038C" w:rsidRDefault="00B8038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8038C" w:rsidRPr="002829D6" w:rsidTr="009D69DF">
        <w:tc>
          <w:tcPr>
            <w:tcW w:w="2158" w:type="dxa"/>
            <w:gridSpan w:val="2"/>
            <w:vMerge/>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FFFFFF"/>
            <w:vAlign w:val="center"/>
          </w:tcPr>
          <w:p w:rsidR="00B8038C" w:rsidRDefault="00B8038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39.0</w:t>
            </w:r>
          </w:p>
        </w:tc>
        <w:tc>
          <w:tcPr>
            <w:tcW w:w="914" w:type="dxa"/>
            <w:shd w:val="clear" w:color="auto" w:fill="E5B8B7"/>
            <w:vAlign w:val="center"/>
          </w:tcPr>
          <w:p w:rsidR="00B8038C" w:rsidRDefault="00BF5180"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915" w:type="dxa"/>
            <w:shd w:val="clear" w:color="auto" w:fill="E5B8B7"/>
            <w:vAlign w:val="center"/>
          </w:tcPr>
          <w:p w:rsidR="00B8038C" w:rsidRDefault="00C13E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B8038C" w:rsidRDefault="00C13E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B8038C" w:rsidRPr="002829D6" w:rsidTr="00BF5180">
        <w:tc>
          <w:tcPr>
            <w:tcW w:w="2158" w:type="dxa"/>
            <w:gridSpan w:val="2"/>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Audio</w:t>
            </w:r>
            <w:r w:rsidR="003075C7">
              <w:rPr>
                <w:rFonts w:ascii="Arial" w:hAnsi="Arial" w:cs="Arial"/>
                <w:sz w:val="16"/>
                <w:szCs w:val="16"/>
              </w:rPr>
              <w:t>-</w:t>
            </w:r>
            <w:r>
              <w:rPr>
                <w:rFonts w:ascii="Arial" w:hAnsi="Arial" w:cs="Arial"/>
                <w:sz w:val="16"/>
                <w:szCs w:val="16"/>
              </w:rPr>
              <w:t>vestibular Medicine</w:t>
            </w:r>
          </w:p>
        </w:tc>
        <w:tc>
          <w:tcPr>
            <w:tcW w:w="1950" w:type="dxa"/>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SpR/Speciality Trainee Level 3+</w:t>
            </w:r>
          </w:p>
        </w:tc>
        <w:tc>
          <w:tcPr>
            <w:tcW w:w="1310" w:type="dxa"/>
            <w:shd w:val="clear" w:color="auto" w:fill="FFFFFF"/>
            <w:vAlign w:val="center"/>
          </w:tcPr>
          <w:p w:rsidR="00B8038C" w:rsidRDefault="00B8038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B8038C" w:rsidRDefault="00BF5180"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BF5180"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BF5180"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8038C" w:rsidRPr="002829D6" w:rsidTr="002D1DE4">
        <w:tc>
          <w:tcPr>
            <w:tcW w:w="2158" w:type="dxa"/>
            <w:gridSpan w:val="2"/>
            <w:vMerge w:val="restart"/>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Cardiology</w:t>
            </w:r>
          </w:p>
        </w:tc>
        <w:tc>
          <w:tcPr>
            <w:tcW w:w="1950" w:type="dxa"/>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FFFFFF"/>
            <w:vAlign w:val="center"/>
          </w:tcPr>
          <w:p w:rsidR="00B8038C" w:rsidRDefault="00B8038C"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4B31E8"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4B31E8" w:rsidRPr="002829D6" w:rsidTr="00094EC0">
        <w:tc>
          <w:tcPr>
            <w:tcW w:w="2158" w:type="dxa"/>
            <w:gridSpan w:val="2"/>
            <w:vMerge/>
            <w:shd w:val="clear" w:color="auto" w:fill="auto"/>
            <w:vAlign w:val="center"/>
          </w:tcPr>
          <w:p w:rsidR="004B31E8" w:rsidRDefault="004B31E8" w:rsidP="002829D6">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4B31E8" w:rsidRDefault="004B31E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SpR/Speciality Trainee Level 3+</w:t>
            </w:r>
          </w:p>
        </w:tc>
        <w:tc>
          <w:tcPr>
            <w:tcW w:w="1310" w:type="dxa"/>
            <w:shd w:val="clear" w:color="auto" w:fill="FFFFFF"/>
            <w:vAlign w:val="center"/>
          </w:tcPr>
          <w:p w:rsidR="004B31E8" w:rsidRDefault="004B31E8" w:rsidP="00B8038C">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7.0</w:t>
            </w:r>
          </w:p>
        </w:tc>
        <w:tc>
          <w:tcPr>
            <w:tcW w:w="914" w:type="dxa"/>
            <w:shd w:val="clear" w:color="auto" w:fill="E5B8B7"/>
            <w:vAlign w:val="center"/>
          </w:tcPr>
          <w:p w:rsidR="004B31E8" w:rsidRDefault="00BF5180"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vAlign w:val="center"/>
          </w:tcPr>
          <w:p w:rsidR="004B31E8" w:rsidRDefault="00BF5180"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vAlign w:val="center"/>
          </w:tcPr>
          <w:p w:rsidR="004B31E8" w:rsidRDefault="00BF5180"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4B31E8" w:rsidRPr="002829D6" w:rsidTr="002D1DE4">
        <w:tc>
          <w:tcPr>
            <w:tcW w:w="2158" w:type="dxa"/>
            <w:gridSpan w:val="2"/>
            <w:vMerge w:val="restart"/>
            <w:shd w:val="clear" w:color="auto" w:fill="auto"/>
            <w:vAlign w:val="center"/>
          </w:tcPr>
          <w:p w:rsidR="004B31E8" w:rsidRDefault="004B31E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Cardiothoracic Surgery</w:t>
            </w:r>
          </w:p>
        </w:tc>
        <w:tc>
          <w:tcPr>
            <w:tcW w:w="1950" w:type="dxa"/>
            <w:shd w:val="clear" w:color="auto" w:fill="auto"/>
            <w:vAlign w:val="center"/>
          </w:tcPr>
          <w:p w:rsidR="004B31E8" w:rsidRDefault="004B31E8"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FFFFFF"/>
            <w:vAlign w:val="center"/>
          </w:tcPr>
          <w:p w:rsidR="004B31E8" w:rsidRDefault="004B31E8" w:rsidP="00B8038C">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4B31E8" w:rsidRDefault="004B31E8"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4B31E8" w:rsidRDefault="004B31E8"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4B31E8" w:rsidRDefault="004B31E8"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8038C" w:rsidRPr="002829D6" w:rsidTr="00C13E9D">
        <w:tc>
          <w:tcPr>
            <w:tcW w:w="2158" w:type="dxa"/>
            <w:gridSpan w:val="2"/>
            <w:vMerge/>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FFFFFF"/>
            <w:vAlign w:val="center"/>
          </w:tcPr>
          <w:p w:rsidR="00B8038C" w:rsidRDefault="00B8038C" w:rsidP="00B8038C">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B8038C" w:rsidRDefault="00BF5180"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E5B8B7" w:themeFill="accent2" w:themeFillTint="66"/>
            <w:vAlign w:val="center"/>
          </w:tcPr>
          <w:p w:rsidR="00B8038C" w:rsidRDefault="00C13E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915" w:type="dxa"/>
            <w:shd w:val="clear" w:color="auto" w:fill="E5B8B7" w:themeFill="accent2" w:themeFillTint="66"/>
            <w:vAlign w:val="center"/>
          </w:tcPr>
          <w:p w:rsidR="00B8038C" w:rsidRDefault="00C13E9D"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B8038C" w:rsidRPr="002829D6" w:rsidTr="00BF5180">
        <w:tc>
          <w:tcPr>
            <w:tcW w:w="2158" w:type="dxa"/>
            <w:gridSpan w:val="2"/>
            <w:shd w:val="clear" w:color="auto" w:fill="auto"/>
            <w:vAlign w:val="center"/>
          </w:tcPr>
          <w:p w:rsidR="00B8038C" w:rsidRDefault="00B8038C" w:rsidP="002829D6">
            <w:pPr>
              <w:pStyle w:val="ListParagraph"/>
              <w:spacing w:before="60" w:after="60" w:line="240" w:lineRule="auto"/>
              <w:ind w:left="0"/>
              <w:contextualSpacing/>
              <w:rPr>
                <w:rFonts w:ascii="Arial" w:hAnsi="Arial" w:cs="Arial"/>
                <w:sz w:val="16"/>
                <w:szCs w:val="16"/>
              </w:rPr>
            </w:pPr>
            <w:r>
              <w:rPr>
                <w:rFonts w:ascii="Arial" w:hAnsi="Arial" w:cs="Arial"/>
                <w:sz w:val="16"/>
                <w:szCs w:val="16"/>
              </w:rPr>
              <w:t>Chemical Pathology</w:t>
            </w:r>
          </w:p>
        </w:tc>
        <w:tc>
          <w:tcPr>
            <w:tcW w:w="1950" w:type="dxa"/>
            <w:shd w:val="clear" w:color="auto" w:fill="auto"/>
            <w:vAlign w:val="center"/>
          </w:tcPr>
          <w:p w:rsidR="00B8038C" w:rsidRDefault="00B8038C" w:rsidP="00B8038C">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FFFFFF"/>
            <w:vAlign w:val="center"/>
          </w:tcPr>
          <w:p w:rsidR="00B8038C" w:rsidRDefault="00B8038C" w:rsidP="00B8038C">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B8038C" w:rsidRDefault="00BA1E4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BA1E4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8038C" w:rsidRDefault="00BA1E46" w:rsidP="002829D6">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9D69DF">
        <w:tc>
          <w:tcPr>
            <w:tcW w:w="2158" w:type="dxa"/>
            <w:gridSpan w:val="2"/>
            <w:shd w:val="clear" w:color="auto" w:fill="auto"/>
            <w:vAlign w:val="center"/>
          </w:tcPr>
          <w:p w:rsidR="00C90771" w:rsidRPr="002829D6"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Child and Adolescent Psychiatry</w:t>
            </w:r>
          </w:p>
        </w:tc>
        <w:tc>
          <w:tcPr>
            <w:tcW w:w="1950" w:type="dxa"/>
            <w:shd w:val="clear" w:color="auto" w:fill="auto"/>
            <w:vAlign w:val="center"/>
          </w:tcPr>
          <w:p w:rsidR="00C90771" w:rsidRPr="002829D6"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4+</w:t>
            </w:r>
          </w:p>
        </w:tc>
        <w:tc>
          <w:tcPr>
            <w:tcW w:w="1310" w:type="dxa"/>
            <w:shd w:val="clear" w:color="auto" w:fill="FFFFFF"/>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10.0</w:t>
            </w:r>
          </w:p>
        </w:tc>
        <w:tc>
          <w:tcPr>
            <w:tcW w:w="914"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915"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915"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r>
      <w:tr w:rsidR="00C90771" w:rsidRPr="002829D6" w:rsidTr="00BF5180">
        <w:tc>
          <w:tcPr>
            <w:tcW w:w="2158" w:type="dxa"/>
            <w:gridSpan w:val="2"/>
            <w:shd w:val="clear" w:color="auto" w:fill="auto"/>
            <w:vAlign w:val="center"/>
          </w:tcPr>
          <w:p w:rsidR="00C90771" w:rsidRPr="002829D6"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Clinical Genetics</w:t>
            </w:r>
          </w:p>
        </w:tc>
        <w:tc>
          <w:tcPr>
            <w:tcW w:w="1950" w:type="dxa"/>
            <w:shd w:val="clear" w:color="auto" w:fill="auto"/>
            <w:vAlign w:val="center"/>
          </w:tcPr>
          <w:p w:rsidR="00C90771" w:rsidRPr="002829D6"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FFFFFF"/>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auto"/>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9D69DF">
        <w:tc>
          <w:tcPr>
            <w:tcW w:w="2158" w:type="dxa"/>
            <w:gridSpan w:val="2"/>
            <w:shd w:val="clear" w:color="auto" w:fill="auto"/>
            <w:vAlign w:val="center"/>
          </w:tcPr>
          <w:p w:rsidR="00C90771" w:rsidRPr="002829D6"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Clinical Radiology</w:t>
            </w:r>
          </w:p>
        </w:tc>
        <w:tc>
          <w:tcPr>
            <w:tcW w:w="1950" w:type="dxa"/>
            <w:shd w:val="clear" w:color="auto" w:fill="auto"/>
            <w:vAlign w:val="center"/>
          </w:tcPr>
          <w:p w:rsidR="00C90771" w:rsidRPr="002829D6"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FFFFFF"/>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15.0</w:t>
            </w:r>
          </w:p>
        </w:tc>
        <w:tc>
          <w:tcPr>
            <w:tcW w:w="914" w:type="dxa"/>
            <w:shd w:val="clear" w:color="auto" w:fill="E5B8B7" w:themeFill="accent2" w:themeFillTint="66"/>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915" w:type="dxa"/>
            <w:shd w:val="clear" w:color="auto" w:fill="E5B8B7" w:themeFill="accent2" w:themeFillTint="66"/>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C90771" w:rsidRPr="002829D6" w:rsidTr="00BF5180">
        <w:tc>
          <w:tcPr>
            <w:tcW w:w="2158" w:type="dxa"/>
            <w:gridSpan w:val="2"/>
            <w:vMerge w:val="restart"/>
            <w:shd w:val="clear" w:color="auto" w:fill="auto"/>
            <w:vAlign w:val="center"/>
          </w:tcPr>
          <w:p w:rsidR="00C90771" w:rsidRPr="002829D6"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Core Anaesthetics Training</w:t>
            </w:r>
          </w:p>
        </w:tc>
        <w:tc>
          <w:tcPr>
            <w:tcW w:w="1950" w:type="dxa"/>
            <w:shd w:val="clear" w:color="auto" w:fill="auto"/>
            <w:vAlign w:val="center"/>
          </w:tcPr>
          <w:p w:rsidR="00C90771" w:rsidRPr="002829D6"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ST1</w:t>
            </w:r>
          </w:p>
        </w:tc>
        <w:tc>
          <w:tcPr>
            <w:tcW w:w="1310" w:type="dxa"/>
            <w:shd w:val="clear" w:color="auto" w:fill="FFFFFF"/>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Pr="002829D6"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BF5180">
        <w:tc>
          <w:tcPr>
            <w:tcW w:w="2158" w:type="dxa"/>
            <w:gridSpan w:val="2"/>
            <w:vMerge/>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ST2</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9D69DF">
        <w:tc>
          <w:tcPr>
            <w:tcW w:w="2158" w:type="dxa"/>
            <w:gridSpan w:val="2"/>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Core Medical Training</w:t>
            </w: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CT1-3</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18.0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915"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r>
      <w:tr w:rsidR="00C90771" w:rsidRPr="002829D6" w:rsidTr="00BF5180">
        <w:tc>
          <w:tcPr>
            <w:tcW w:w="2158" w:type="dxa"/>
            <w:gridSpan w:val="2"/>
            <w:vMerge w:val="restart"/>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Core Psychiatry Training</w:t>
            </w: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BF5180">
        <w:tc>
          <w:tcPr>
            <w:tcW w:w="2158" w:type="dxa"/>
            <w:gridSpan w:val="2"/>
            <w:vMerge/>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CT2</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961DA1">
        <w:tc>
          <w:tcPr>
            <w:tcW w:w="2158" w:type="dxa"/>
            <w:gridSpan w:val="2"/>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Core Surgical Training</w:t>
            </w: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CT1-3</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16.0</w:t>
            </w:r>
          </w:p>
        </w:tc>
        <w:tc>
          <w:tcPr>
            <w:tcW w:w="914"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w:t>
            </w:r>
          </w:p>
        </w:tc>
        <w:tc>
          <w:tcPr>
            <w:tcW w:w="915"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915"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r>
      <w:tr w:rsidR="00C90771" w:rsidRPr="002829D6" w:rsidTr="00BF5180">
        <w:tc>
          <w:tcPr>
            <w:tcW w:w="2158" w:type="dxa"/>
            <w:gridSpan w:val="2"/>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Core Training</w:t>
            </w: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Core Training</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17.0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BF5180">
        <w:tc>
          <w:tcPr>
            <w:tcW w:w="2158" w:type="dxa"/>
            <w:gridSpan w:val="2"/>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Public Health</w:t>
            </w: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SpR/Specialty Trainee Level 3+</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BF5180">
        <w:tc>
          <w:tcPr>
            <w:tcW w:w="2158" w:type="dxa"/>
            <w:gridSpan w:val="2"/>
            <w:vMerge w:val="restart"/>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Emergency Medicine</w:t>
            </w: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BF5180">
        <w:tc>
          <w:tcPr>
            <w:tcW w:w="2158" w:type="dxa"/>
            <w:gridSpan w:val="2"/>
            <w:vMerge/>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0771" w:rsidRPr="002829D6" w:rsidTr="009D69DF">
        <w:tc>
          <w:tcPr>
            <w:tcW w:w="2158" w:type="dxa"/>
            <w:gridSpan w:val="2"/>
            <w:vMerge/>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0771" w:rsidRDefault="00C90771"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FFFFFF"/>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15.0</w:t>
            </w:r>
          </w:p>
        </w:tc>
        <w:tc>
          <w:tcPr>
            <w:tcW w:w="914" w:type="dxa"/>
            <w:shd w:val="clear" w:color="auto" w:fill="auto"/>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C90771" w:rsidRDefault="00C90771"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07131B" w:rsidRPr="002829D6" w:rsidTr="00216F3D">
        <w:trPr>
          <w:trHeight w:val="498"/>
        </w:trPr>
        <w:tc>
          <w:tcPr>
            <w:tcW w:w="2158" w:type="dxa"/>
            <w:gridSpan w:val="2"/>
            <w:shd w:val="clear" w:color="auto" w:fill="auto"/>
            <w:vAlign w:val="center"/>
          </w:tcPr>
          <w:p w:rsidR="0007131B" w:rsidRDefault="0007131B"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Endocrinology and Diabetes Mellitus</w:t>
            </w:r>
          </w:p>
        </w:tc>
        <w:tc>
          <w:tcPr>
            <w:tcW w:w="1950" w:type="dxa"/>
            <w:shd w:val="clear" w:color="auto" w:fill="auto"/>
            <w:vAlign w:val="center"/>
          </w:tcPr>
          <w:p w:rsidR="0007131B" w:rsidRDefault="0007131B"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FFFFFF"/>
            <w:vAlign w:val="center"/>
          </w:tcPr>
          <w:p w:rsidR="0007131B" w:rsidRDefault="0007131B"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07131B" w:rsidRDefault="0007131B"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07131B" w:rsidRDefault="0007131B"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07131B" w:rsidRDefault="0007131B"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bl>
    <w:p w:rsidR="00A37499" w:rsidRPr="00A605E6" w:rsidRDefault="00A37499" w:rsidP="006E7951">
      <w:pPr>
        <w:pStyle w:val="ListParagraph"/>
        <w:ind w:left="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924"/>
        <w:gridCol w:w="1310"/>
        <w:gridCol w:w="999"/>
        <w:gridCol w:w="901"/>
        <w:gridCol w:w="903"/>
      </w:tblGrid>
      <w:tr w:rsidR="00931D68" w:rsidRPr="002829D6" w:rsidTr="00931D68">
        <w:tc>
          <w:tcPr>
            <w:tcW w:w="2125" w:type="dxa"/>
            <w:shd w:val="clear" w:color="auto" w:fill="BFBFBF" w:themeFill="background1" w:themeFillShade="BF"/>
            <w:vAlign w:val="center"/>
          </w:tcPr>
          <w:p w:rsidR="00931D68" w:rsidRPr="00931D68" w:rsidRDefault="00931D68" w:rsidP="00216F3D">
            <w:pPr>
              <w:pStyle w:val="ListParagraph"/>
              <w:spacing w:before="60" w:after="60" w:line="240" w:lineRule="auto"/>
              <w:ind w:left="0"/>
              <w:contextualSpacing/>
              <w:rPr>
                <w:rFonts w:ascii="Arial" w:hAnsi="Arial" w:cs="Arial"/>
                <w:b/>
                <w:sz w:val="16"/>
                <w:szCs w:val="16"/>
              </w:rPr>
            </w:pPr>
          </w:p>
        </w:tc>
        <w:tc>
          <w:tcPr>
            <w:tcW w:w="1924" w:type="dxa"/>
            <w:shd w:val="clear" w:color="auto" w:fill="BFBFBF" w:themeFill="background1" w:themeFillShade="BF"/>
            <w:vAlign w:val="center"/>
          </w:tcPr>
          <w:p w:rsidR="00931D68" w:rsidRPr="00931D68" w:rsidRDefault="00931D68" w:rsidP="00216F3D">
            <w:pPr>
              <w:pStyle w:val="ListParagraph"/>
              <w:spacing w:before="60" w:after="60" w:line="240" w:lineRule="auto"/>
              <w:ind w:left="0"/>
              <w:contextualSpacing/>
              <w:jc w:val="center"/>
              <w:rPr>
                <w:rFonts w:ascii="Arial" w:hAnsi="Arial" w:cs="Arial"/>
                <w:b/>
                <w:sz w:val="16"/>
                <w:szCs w:val="16"/>
              </w:rPr>
            </w:pPr>
          </w:p>
        </w:tc>
        <w:tc>
          <w:tcPr>
            <w:tcW w:w="1310" w:type="dxa"/>
            <w:shd w:val="clear" w:color="auto" w:fill="BFBFBF" w:themeFill="background1" w:themeFillShade="BF"/>
            <w:vAlign w:val="center"/>
          </w:tcPr>
          <w:p w:rsidR="00931D68" w:rsidRPr="00931D68" w:rsidRDefault="00931D68" w:rsidP="00216F3D">
            <w:pPr>
              <w:pStyle w:val="ListParagraph"/>
              <w:spacing w:before="60" w:after="60" w:line="240" w:lineRule="auto"/>
              <w:ind w:left="0"/>
              <w:contextualSpacing/>
              <w:jc w:val="center"/>
              <w:rPr>
                <w:rFonts w:ascii="Arial" w:hAnsi="Arial" w:cs="Arial"/>
                <w:b/>
                <w:sz w:val="16"/>
                <w:szCs w:val="16"/>
              </w:rPr>
            </w:pPr>
          </w:p>
        </w:tc>
        <w:tc>
          <w:tcPr>
            <w:tcW w:w="2803" w:type="dxa"/>
            <w:gridSpan w:val="3"/>
            <w:shd w:val="clear" w:color="auto" w:fill="BFBFBF" w:themeFill="background1" w:themeFillShade="BF"/>
            <w:vAlign w:val="center"/>
          </w:tcPr>
          <w:p w:rsidR="00931D68" w:rsidRPr="00931D68" w:rsidRDefault="00931D68" w:rsidP="00AA5B40">
            <w:pPr>
              <w:pStyle w:val="ListParagraph"/>
              <w:spacing w:before="60" w:after="60" w:line="240" w:lineRule="auto"/>
              <w:ind w:left="0"/>
              <w:contextualSpacing/>
              <w:jc w:val="center"/>
              <w:rPr>
                <w:rFonts w:ascii="Arial" w:hAnsi="Arial" w:cs="Arial"/>
                <w:b/>
                <w:sz w:val="16"/>
                <w:szCs w:val="16"/>
              </w:rPr>
            </w:pPr>
          </w:p>
        </w:tc>
      </w:tr>
      <w:tr w:rsidR="008C5BC3" w:rsidRPr="002829D6" w:rsidTr="0007131B">
        <w:tc>
          <w:tcPr>
            <w:tcW w:w="2125" w:type="dxa"/>
            <w:shd w:val="clear" w:color="auto" w:fill="FFFFFF" w:themeFill="background1"/>
            <w:vAlign w:val="center"/>
          </w:tcPr>
          <w:p w:rsidR="008C5BC3" w:rsidRPr="002829D6" w:rsidRDefault="008C5BC3" w:rsidP="00216F3D">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924" w:type="dxa"/>
            <w:vMerge w:val="restart"/>
            <w:shd w:val="clear" w:color="auto" w:fill="FFFFFF" w:themeFill="background1"/>
            <w:vAlign w:val="center"/>
          </w:tcPr>
          <w:p w:rsidR="008C5BC3" w:rsidRPr="002829D6" w:rsidRDefault="008C5BC3" w:rsidP="00216F3D">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Grade</w:t>
            </w:r>
          </w:p>
        </w:tc>
        <w:tc>
          <w:tcPr>
            <w:tcW w:w="1310" w:type="dxa"/>
            <w:vMerge w:val="restart"/>
            <w:shd w:val="clear" w:color="auto" w:fill="FFFFFF" w:themeFill="background1"/>
            <w:vAlign w:val="center"/>
          </w:tcPr>
          <w:p w:rsidR="008C5BC3" w:rsidRPr="002829D6" w:rsidRDefault="008C5BC3" w:rsidP="00216F3D">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Establishment</w:t>
            </w:r>
          </w:p>
        </w:tc>
        <w:tc>
          <w:tcPr>
            <w:tcW w:w="2803" w:type="dxa"/>
            <w:gridSpan w:val="3"/>
            <w:shd w:val="clear" w:color="auto" w:fill="FFFFFF" w:themeFill="background1"/>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b/>
                <w:sz w:val="16"/>
                <w:szCs w:val="16"/>
              </w:rPr>
              <w:t xml:space="preserve">Vacancies </w:t>
            </w:r>
          </w:p>
        </w:tc>
      </w:tr>
      <w:tr w:rsidR="008C5BC3" w:rsidRPr="002829D6" w:rsidTr="0007131B">
        <w:tc>
          <w:tcPr>
            <w:tcW w:w="2125" w:type="dxa"/>
            <w:vMerge w:val="restart"/>
            <w:shd w:val="clear" w:color="auto" w:fill="auto"/>
            <w:vAlign w:val="center"/>
          </w:tcPr>
          <w:p w:rsidR="008C5BC3" w:rsidRPr="002829D6" w:rsidRDefault="008C5BC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Gastroenterology</w:t>
            </w:r>
          </w:p>
        </w:tc>
        <w:tc>
          <w:tcPr>
            <w:tcW w:w="1924" w:type="dxa"/>
            <w:vMerge/>
            <w:shd w:val="clear" w:color="auto" w:fill="auto"/>
            <w:vAlign w:val="center"/>
          </w:tcPr>
          <w:p w:rsidR="008C5BC3" w:rsidRPr="002829D6" w:rsidRDefault="008C5BC3" w:rsidP="0007131B">
            <w:pPr>
              <w:pStyle w:val="ListParagraph"/>
              <w:spacing w:before="60" w:after="60" w:line="240" w:lineRule="auto"/>
              <w:ind w:left="0"/>
              <w:contextualSpacing/>
              <w:rPr>
                <w:rFonts w:ascii="Arial" w:hAnsi="Arial" w:cs="Arial"/>
                <w:sz w:val="16"/>
                <w:szCs w:val="16"/>
              </w:rPr>
            </w:pPr>
          </w:p>
        </w:tc>
        <w:tc>
          <w:tcPr>
            <w:tcW w:w="1310" w:type="dxa"/>
            <w:vMerge/>
            <w:shd w:val="clear" w:color="auto" w:fill="auto"/>
            <w:vAlign w:val="center"/>
          </w:tcPr>
          <w:p w:rsidR="008C5BC3" w:rsidRPr="002829D6" w:rsidRDefault="008C5BC3" w:rsidP="00216F3D">
            <w:pPr>
              <w:pStyle w:val="ListParagraph"/>
              <w:spacing w:before="60" w:after="60" w:line="240" w:lineRule="auto"/>
              <w:ind w:left="0"/>
              <w:contextualSpacing/>
              <w:jc w:val="center"/>
              <w:rPr>
                <w:rFonts w:ascii="Arial" w:hAnsi="Arial" w:cs="Arial"/>
                <w:sz w:val="16"/>
                <w:szCs w:val="16"/>
              </w:rPr>
            </w:pPr>
          </w:p>
        </w:tc>
        <w:tc>
          <w:tcPr>
            <w:tcW w:w="999" w:type="dxa"/>
            <w:shd w:val="clear" w:color="auto" w:fill="auto"/>
            <w:vAlign w:val="center"/>
          </w:tcPr>
          <w:p w:rsidR="008C5BC3" w:rsidRPr="002829D6" w:rsidRDefault="008C5BC3" w:rsidP="00216F3D">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July</w:t>
            </w:r>
          </w:p>
        </w:tc>
        <w:tc>
          <w:tcPr>
            <w:tcW w:w="901" w:type="dxa"/>
            <w:shd w:val="clear" w:color="auto" w:fill="auto"/>
            <w:vAlign w:val="center"/>
          </w:tcPr>
          <w:p w:rsidR="008C5BC3" w:rsidRPr="002829D6" w:rsidRDefault="008C5BC3" w:rsidP="00216F3D">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Aug</w:t>
            </w:r>
          </w:p>
        </w:tc>
        <w:tc>
          <w:tcPr>
            <w:tcW w:w="903" w:type="dxa"/>
            <w:shd w:val="clear" w:color="auto" w:fill="auto"/>
            <w:vAlign w:val="center"/>
          </w:tcPr>
          <w:p w:rsidR="008C5BC3" w:rsidRPr="002829D6" w:rsidRDefault="008C5BC3" w:rsidP="00216F3D">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Sept</w:t>
            </w:r>
          </w:p>
        </w:tc>
      </w:tr>
      <w:tr w:rsidR="008C5BC3" w:rsidRPr="002829D6" w:rsidTr="0007131B">
        <w:tc>
          <w:tcPr>
            <w:tcW w:w="2125" w:type="dxa"/>
            <w:vMerge/>
            <w:shd w:val="clear" w:color="auto" w:fill="auto"/>
            <w:vAlign w:val="center"/>
          </w:tcPr>
          <w:p w:rsidR="008C5BC3" w:rsidRPr="00A37499" w:rsidRDefault="008C5BC3" w:rsidP="00AA5B40">
            <w:pPr>
              <w:pStyle w:val="ListParagraph"/>
              <w:spacing w:before="60" w:after="60" w:line="240" w:lineRule="auto"/>
              <w:ind w:left="0"/>
              <w:contextualSpacing/>
              <w:rPr>
                <w:rFonts w:ascii="Arial" w:hAnsi="Arial" w:cs="Arial"/>
                <w:i/>
                <w:sz w:val="16"/>
                <w:szCs w:val="16"/>
              </w:rPr>
            </w:pPr>
          </w:p>
        </w:tc>
        <w:tc>
          <w:tcPr>
            <w:tcW w:w="1924" w:type="dxa"/>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p>
        </w:tc>
        <w:tc>
          <w:tcPr>
            <w:tcW w:w="1310"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p>
        </w:tc>
        <w:tc>
          <w:tcPr>
            <w:tcW w:w="999"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8C5BC3" w:rsidRPr="002829D6" w:rsidTr="0007131B">
        <w:tc>
          <w:tcPr>
            <w:tcW w:w="2125" w:type="dxa"/>
            <w:vMerge/>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99"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8C5BC3" w:rsidRPr="002829D6" w:rsidTr="0007131B">
        <w:tc>
          <w:tcPr>
            <w:tcW w:w="2125" w:type="dxa"/>
            <w:vMerge/>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99"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8C5BC3" w:rsidRPr="002829D6" w:rsidTr="0007131B">
        <w:tc>
          <w:tcPr>
            <w:tcW w:w="2125" w:type="dxa"/>
            <w:vMerge/>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auto"/>
            <w:vAlign w:val="center"/>
          </w:tcPr>
          <w:p w:rsidR="008C5BC3" w:rsidRDefault="008C5BC3" w:rsidP="00FF100A">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8C5BC3" w:rsidRPr="002829D6" w:rsidTr="0007131B">
        <w:tc>
          <w:tcPr>
            <w:tcW w:w="2125" w:type="dxa"/>
            <w:vMerge/>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8C5BC3" w:rsidRDefault="008C5BC3"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99" w:type="dxa"/>
            <w:shd w:val="clear" w:color="auto" w:fill="auto"/>
            <w:vAlign w:val="center"/>
          </w:tcPr>
          <w:p w:rsidR="008C5BC3" w:rsidRDefault="008C5BC3" w:rsidP="00FF100A">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8C5BC3" w:rsidRDefault="008C5BC3"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07131B" w:rsidRPr="002829D6" w:rsidTr="0007131B">
        <w:tc>
          <w:tcPr>
            <w:tcW w:w="2125" w:type="dxa"/>
            <w:vMerge w:val="restart"/>
            <w:shd w:val="clear" w:color="auto" w:fill="auto"/>
            <w:vAlign w:val="center"/>
          </w:tcPr>
          <w:p w:rsidR="0007131B" w:rsidRDefault="0007131B"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Medicine</w:t>
            </w:r>
          </w:p>
        </w:tc>
        <w:tc>
          <w:tcPr>
            <w:tcW w:w="1924" w:type="dxa"/>
            <w:shd w:val="clear" w:color="auto" w:fill="auto"/>
            <w:vAlign w:val="center"/>
          </w:tcPr>
          <w:p w:rsidR="0007131B" w:rsidRDefault="008C5BC3"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r w:rsidR="008C5BC3">
              <w:rPr>
                <w:rFonts w:ascii="Arial" w:hAnsi="Arial" w:cs="Arial"/>
                <w:sz w:val="16"/>
                <w:szCs w:val="16"/>
              </w:rPr>
              <w:t>4</w:t>
            </w:r>
            <w:r>
              <w:rPr>
                <w:rFonts w:ascii="Arial" w:hAnsi="Arial" w:cs="Arial"/>
                <w:sz w:val="16"/>
                <w:szCs w:val="16"/>
              </w:rPr>
              <w:t>.0</w:t>
            </w:r>
          </w:p>
        </w:tc>
        <w:tc>
          <w:tcPr>
            <w:tcW w:w="999" w:type="dxa"/>
            <w:shd w:val="clear" w:color="auto" w:fill="auto"/>
            <w:vAlign w:val="center"/>
          </w:tcPr>
          <w:p w:rsidR="0007131B" w:rsidRDefault="0007131B" w:rsidP="00FF100A">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07131B" w:rsidRPr="002829D6" w:rsidTr="0007131B">
        <w:tc>
          <w:tcPr>
            <w:tcW w:w="2125" w:type="dxa"/>
            <w:vMerge/>
            <w:shd w:val="clear" w:color="auto" w:fill="auto"/>
            <w:vAlign w:val="center"/>
          </w:tcPr>
          <w:p w:rsidR="0007131B" w:rsidRDefault="0007131B" w:rsidP="00AA5B40">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07131B" w:rsidRDefault="004F471F"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Trainee Level 1 /2: GP</w:t>
            </w:r>
          </w:p>
        </w:tc>
        <w:tc>
          <w:tcPr>
            <w:tcW w:w="1310"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auto"/>
            <w:vAlign w:val="center"/>
          </w:tcPr>
          <w:p w:rsidR="0007131B" w:rsidRDefault="0007131B" w:rsidP="00FF100A">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07131B" w:rsidRPr="002829D6" w:rsidTr="0007131B">
        <w:tc>
          <w:tcPr>
            <w:tcW w:w="2125" w:type="dxa"/>
            <w:shd w:val="clear" w:color="auto" w:fill="auto"/>
            <w:vAlign w:val="center"/>
          </w:tcPr>
          <w:p w:rsidR="0007131B" w:rsidRDefault="0007131B"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Practice</w:t>
            </w:r>
          </w:p>
        </w:tc>
        <w:tc>
          <w:tcPr>
            <w:tcW w:w="1924" w:type="dxa"/>
            <w:shd w:val="clear" w:color="auto" w:fill="auto"/>
            <w:vAlign w:val="center"/>
          </w:tcPr>
          <w:p w:rsidR="0007131B" w:rsidRDefault="004F471F"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Non-Foundation Year 2: GP</w:t>
            </w:r>
          </w:p>
        </w:tc>
        <w:tc>
          <w:tcPr>
            <w:tcW w:w="1310" w:type="dxa"/>
            <w:shd w:val="clear" w:color="auto" w:fill="auto"/>
            <w:vAlign w:val="center"/>
          </w:tcPr>
          <w:p w:rsidR="0007131B" w:rsidRDefault="004F471F"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16.0</w:t>
            </w:r>
          </w:p>
        </w:tc>
        <w:tc>
          <w:tcPr>
            <w:tcW w:w="999" w:type="dxa"/>
            <w:shd w:val="clear" w:color="auto" w:fill="auto"/>
            <w:vAlign w:val="center"/>
          </w:tcPr>
          <w:p w:rsidR="0007131B" w:rsidRDefault="0007131B" w:rsidP="00FF100A">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07131B" w:rsidRPr="002829D6" w:rsidTr="0007131B">
        <w:tc>
          <w:tcPr>
            <w:tcW w:w="2125" w:type="dxa"/>
            <w:vMerge w:val="restart"/>
            <w:shd w:val="clear" w:color="auto" w:fill="auto"/>
            <w:vAlign w:val="center"/>
          </w:tcPr>
          <w:p w:rsidR="0007131B" w:rsidRDefault="0007131B"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Psychiatry</w:t>
            </w:r>
          </w:p>
        </w:tc>
        <w:tc>
          <w:tcPr>
            <w:tcW w:w="1924" w:type="dxa"/>
            <w:shd w:val="clear" w:color="auto" w:fill="auto"/>
            <w:vAlign w:val="center"/>
          </w:tcPr>
          <w:p w:rsidR="0007131B" w:rsidRDefault="004F471F"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07131B" w:rsidRDefault="004F471F"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r w:rsidR="0007131B">
              <w:rPr>
                <w:rFonts w:ascii="Arial" w:hAnsi="Arial" w:cs="Arial"/>
                <w:sz w:val="16"/>
                <w:szCs w:val="16"/>
              </w:rPr>
              <w:t>.0</w:t>
            </w:r>
          </w:p>
        </w:tc>
        <w:tc>
          <w:tcPr>
            <w:tcW w:w="999" w:type="dxa"/>
            <w:shd w:val="clear" w:color="auto" w:fill="auto"/>
            <w:vAlign w:val="center"/>
          </w:tcPr>
          <w:p w:rsidR="0007131B" w:rsidRDefault="0007131B" w:rsidP="00FF100A">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07131B" w:rsidRDefault="0007131B"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07131B" w:rsidRPr="002829D6" w:rsidTr="0007131B">
        <w:tc>
          <w:tcPr>
            <w:tcW w:w="2125" w:type="dxa"/>
            <w:vMerge/>
            <w:shd w:val="clear" w:color="auto" w:fill="auto"/>
            <w:vAlign w:val="center"/>
          </w:tcPr>
          <w:p w:rsidR="0007131B" w:rsidRDefault="0007131B" w:rsidP="00AA5B40">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07131B" w:rsidRDefault="004F471F" w:rsidP="00AA5B40">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07131B" w:rsidRDefault="004F471F"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99" w:type="dxa"/>
            <w:shd w:val="clear" w:color="auto" w:fill="auto"/>
            <w:vAlign w:val="center"/>
          </w:tcPr>
          <w:p w:rsidR="0007131B" w:rsidRDefault="004F471F" w:rsidP="00FF100A">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07131B" w:rsidRDefault="004F471F"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07131B" w:rsidRDefault="004F471F" w:rsidP="00AA5B40">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07131B">
        <w:tc>
          <w:tcPr>
            <w:tcW w:w="2125" w:type="dxa"/>
            <w:vMerge w:val="restart"/>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General Surgery</w:t>
            </w:r>
          </w:p>
        </w:tc>
        <w:tc>
          <w:tcPr>
            <w:tcW w:w="1924" w:type="dxa"/>
            <w:shd w:val="clear" w:color="auto" w:fill="auto"/>
            <w:vAlign w:val="center"/>
          </w:tcPr>
          <w:p w:rsidR="003C7727" w:rsidRPr="002829D6"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9D69DF">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Pr="002829D6"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10.0</w:t>
            </w:r>
          </w:p>
        </w:tc>
        <w:tc>
          <w:tcPr>
            <w:tcW w:w="999" w:type="dxa"/>
            <w:shd w:val="clear" w:color="auto" w:fill="E5B8B7" w:themeFill="accent2" w:themeFillTint="66"/>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901" w:type="dxa"/>
            <w:shd w:val="clear" w:color="auto" w:fill="E5B8B7" w:themeFill="accent2" w:themeFillTint="66"/>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903" w:type="dxa"/>
            <w:shd w:val="clear" w:color="auto" w:fill="E5B8B7" w:themeFill="accent2" w:themeFillTint="66"/>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3C7727" w:rsidRPr="002829D6" w:rsidTr="0007131B">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Pr="002829D6"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07131B">
        <w:tc>
          <w:tcPr>
            <w:tcW w:w="2125" w:type="dxa"/>
            <w:vMerge w:val="restart"/>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Genitourinary Medicine</w:t>
            </w:r>
          </w:p>
        </w:tc>
        <w:tc>
          <w:tcPr>
            <w:tcW w:w="1924" w:type="dxa"/>
            <w:shd w:val="clear" w:color="auto" w:fill="auto"/>
            <w:vAlign w:val="center"/>
          </w:tcPr>
          <w:p w:rsidR="003C7727" w:rsidRPr="002829D6"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07131B">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07131B">
        <w:tc>
          <w:tcPr>
            <w:tcW w:w="2125" w:type="dxa"/>
            <w:vMerge w:val="restart"/>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Geriatric Medicine</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9D69DF">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E5B8B7" w:themeFill="accent2" w:themeFillTint="66"/>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03" w:type="dxa"/>
            <w:shd w:val="clear" w:color="auto" w:fill="E5B8B7" w:themeFill="accent2" w:themeFillTint="66"/>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3C7727" w:rsidRPr="002829D6" w:rsidTr="0007131B">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07131B">
        <w:tc>
          <w:tcPr>
            <w:tcW w:w="2125" w:type="dxa"/>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Haematology</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07131B">
        <w:tc>
          <w:tcPr>
            <w:tcW w:w="2125" w:type="dxa"/>
            <w:vMerge w:val="restart"/>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Histopathology</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07131B">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ST1</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8.0</w:t>
            </w:r>
          </w:p>
        </w:tc>
        <w:tc>
          <w:tcPr>
            <w:tcW w:w="999"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9D69DF">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6.0</w:t>
            </w:r>
          </w:p>
        </w:tc>
        <w:tc>
          <w:tcPr>
            <w:tcW w:w="999" w:type="dxa"/>
            <w:shd w:val="clear" w:color="auto" w:fill="E5B8B7" w:themeFill="accent2" w:themeFillTint="66"/>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01" w:type="dxa"/>
            <w:shd w:val="clear" w:color="auto" w:fill="E5B8B7" w:themeFill="accent2" w:themeFillTint="66"/>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03" w:type="dxa"/>
            <w:shd w:val="clear" w:color="auto" w:fill="E5B8B7" w:themeFill="accent2" w:themeFillTint="66"/>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3C7727" w:rsidRPr="002829D6" w:rsidTr="003C7727">
        <w:tc>
          <w:tcPr>
            <w:tcW w:w="2125" w:type="dxa"/>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Immunology</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9D69DF">
        <w:tc>
          <w:tcPr>
            <w:tcW w:w="2125" w:type="dxa"/>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Intensive Care Medicine</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12.0</w:t>
            </w:r>
          </w:p>
        </w:tc>
        <w:tc>
          <w:tcPr>
            <w:tcW w:w="999" w:type="dxa"/>
            <w:shd w:val="clear" w:color="auto" w:fill="E5B8B7" w:themeFill="accent2" w:themeFillTint="66"/>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01" w:type="dxa"/>
            <w:shd w:val="clear" w:color="auto" w:fill="FFFFFF" w:themeFill="background1"/>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3C7727">
        <w:tc>
          <w:tcPr>
            <w:tcW w:w="2125" w:type="dxa"/>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Maxillofacial Radiology</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Non-Dental SpR/ 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3C7727">
        <w:tc>
          <w:tcPr>
            <w:tcW w:w="2125" w:type="dxa"/>
            <w:vMerge w:val="restart"/>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Medical Microbiology</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ST1</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3C7727">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99" w:type="dxa"/>
            <w:shd w:val="clear" w:color="auto" w:fill="FFFFFF" w:themeFill="background1"/>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3C7727">
        <w:tc>
          <w:tcPr>
            <w:tcW w:w="2125" w:type="dxa"/>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Neurosurgery</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99" w:type="dxa"/>
            <w:shd w:val="clear" w:color="auto" w:fill="FFFFFF" w:themeFill="background1"/>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3C7727">
        <w:tc>
          <w:tcPr>
            <w:tcW w:w="2125" w:type="dxa"/>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Nuclear Medicine</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99"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3C7727">
        <w:tc>
          <w:tcPr>
            <w:tcW w:w="2125" w:type="dxa"/>
            <w:vMerge w:val="restart"/>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r w:rsidRPr="002841C6">
              <w:rPr>
                <w:rFonts w:ascii="Arial" w:hAnsi="Arial" w:cs="Arial"/>
                <w:sz w:val="16"/>
                <w:szCs w:val="16"/>
              </w:rPr>
              <w:t>Obstetrics and Gynaecology</w:t>
            </w: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99"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9D69DF">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6.0</w:t>
            </w:r>
          </w:p>
        </w:tc>
        <w:tc>
          <w:tcPr>
            <w:tcW w:w="999" w:type="dxa"/>
            <w:shd w:val="clear" w:color="auto" w:fill="E5B8B7" w:themeFill="accent2" w:themeFillTint="66"/>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3C7727">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ST1</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99"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3C7727">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ST2</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99"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3C7727" w:rsidRPr="002829D6" w:rsidTr="009D69DF">
        <w:tc>
          <w:tcPr>
            <w:tcW w:w="2125" w:type="dxa"/>
            <w:vMerge/>
            <w:shd w:val="clear" w:color="auto" w:fill="auto"/>
            <w:vAlign w:val="center"/>
          </w:tcPr>
          <w:p w:rsidR="003C7727" w:rsidRPr="002841C6" w:rsidRDefault="003C7727" w:rsidP="00216F3D">
            <w:pPr>
              <w:pStyle w:val="ListParagraph"/>
              <w:spacing w:before="60" w:after="60" w:line="240" w:lineRule="auto"/>
              <w:ind w:left="0"/>
              <w:contextualSpacing/>
              <w:rPr>
                <w:rFonts w:ascii="Arial" w:hAnsi="Arial" w:cs="Arial"/>
                <w:sz w:val="16"/>
                <w:szCs w:val="16"/>
              </w:rPr>
            </w:pPr>
          </w:p>
        </w:tc>
        <w:tc>
          <w:tcPr>
            <w:tcW w:w="1924" w:type="dxa"/>
            <w:shd w:val="clear" w:color="auto" w:fill="auto"/>
            <w:vAlign w:val="center"/>
          </w:tcPr>
          <w:p w:rsidR="003C7727" w:rsidRDefault="003C7727"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3C7727"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15.0</w:t>
            </w:r>
          </w:p>
        </w:tc>
        <w:tc>
          <w:tcPr>
            <w:tcW w:w="999" w:type="dxa"/>
            <w:shd w:val="clear" w:color="auto" w:fill="E5B8B7" w:themeFill="accent2" w:themeFillTint="66"/>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01"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03" w:type="dxa"/>
            <w:shd w:val="clear" w:color="auto" w:fill="FFFFFF" w:themeFill="background1"/>
            <w:vAlign w:val="center"/>
          </w:tcPr>
          <w:p w:rsidR="003C7727" w:rsidRPr="002829D6" w:rsidRDefault="003C7727"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bl>
    <w:p w:rsidR="003C7727" w:rsidRPr="003C7727" w:rsidRDefault="003C7727" w:rsidP="003C7727">
      <w:pPr>
        <w:contextualSpacing/>
        <w:jc w:val="both"/>
        <w:rPr>
          <w:rFonts w:ascii="Arial" w:hAnsi="Arial" w:cs="Arial"/>
          <w:sz w:val="21"/>
          <w:szCs w:val="21"/>
        </w:rPr>
      </w:pPr>
    </w:p>
    <w:p w:rsidR="00FF100A" w:rsidRPr="00A605E6" w:rsidRDefault="00FF100A" w:rsidP="00A605E6">
      <w:pPr>
        <w:pStyle w:val="ListParagraph"/>
        <w:ind w:left="360"/>
        <w:contextualSpacing/>
        <w:jc w:val="both"/>
        <w:rPr>
          <w:rFonts w:ascii="Arial" w:hAnsi="Arial" w:cs="Arial"/>
          <w:sz w:val="21"/>
          <w:szCs w:val="21"/>
        </w:rPr>
      </w:pPr>
      <w:r>
        <w:rPr>
          <w:rFonts w:ascii="Arial" w:hAnsi="Arial" w:cs="Arial"/>
          <w:sz w:val="21"/>
          <w:szCs w:val="21"/>
        </w:rPr>
        <w:br w:type="page"/>
      </w:r>
    </w:p>
    <w:p w:rsidR="00B516F6" w:rsidRPr="00A605E6" w:rsidRDefault="00B516F6" w:rsidP="00A605E6">
      <w:pPr>
        <w:pStyle w:val="ListParagraph"/>
        <w:ind w:left="36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59"/>
        <w:gridCol w:w="1950"/>
        <w:gridCol w:w="1310"/>
        <w:gridCol w:w="914"/>
        <w:gridCol w:w="915"/>
        <w:gridCol w:w="915"/>
      </w:tblGrid>
      <w:tr w:rsidR="00B516F6" w:rsidRPr="002829D6" w:rsidTr="00F20A1E">
        <w:tc>
          <w:tcPr>
            <w:tcW w:w="599" w:type="dxa"/>
            <w:tcBorders>
              <w:right w:val="nil"/>
            </w:tcBorders>
            <w:shd w:val="clear" w:color="auto" w:fill="BFBFBF"/>
          </w:tcPr>
          <w:p w:rsidR="00B516F6" w:rsidRPr="002829D6" w:rsidRDefault="00B516F6" w:rsidP="00F20A1E">
            <w:pPr>
              <w:pStyle w:val="ListParagraph"/>
              <w:spacing w:before="60" w:after="60" w:line="240" w:lineRule="auto"/>
              <w:ind w:left="0"/>
              <w:contextualSpacing/>
              <w:jc w:val="both"/>
              <w:rPr>
                <w:rFonts w:ascii="Arial" w:hAnsi="Arial" w:cs="Arial"/>
                <w:b/>
                <w:sz w:val="21"/>
                <w:szCs w:val="21"/>
              </w:rPr>
            </w:pPr>
          </w:p>
        </w:tc>
        <w:tc>
          <w:tcPr>
            <w:tcW w:w="7563" w:type="dxa"/>
            <w:gridSpan w:val="6"/>
            <w:tcBorders>
              <w:left w:val="nil"/>
            </w:tcBorders>
            <w:shd w:val="clear" w:color="auto" w:fill="BFBFBF"/>
            <w:vAlign w:val="center"/>
          </w:tcPr>
          <w:p w:rsidR="00B516F6" w:rsidRPr="002829D6" w:rsidRDefault="00B516F6" w:rsidP="00C92D06">
            <w:pPr>
              <w:pStyle w:val="ListParagraph"/>
              <w:spacing w:before="60" w:after="60" w:line="240" w:lineRule="auto"/>
              <w:ind w:left="0"/>
              <w:contextualSpacing/>
              <w:jc w:val="right"/>
              <w:rPr>
                <w:rFonts w:ascii="Arial" w:hAnsi="Arial" w:cs="Arial"/>
                <w:b/>
                <w:i/>
                <w:sz w:val="21"/>
                <w:szCs w:val="21"/>
              </w:rPr>
            </w:pPr>
          </w:p>
        </w:tc>
      </w:tr>
      <w:tr w:rsidR="00B516F6" w:rsidRPr="002829D6" w:rsidTr="00F20A1E">
        <w:tc>
          <w:tcPr>
            <w:tcW w:w="2158" w:type="dxa"/>
            <w:gridSpan w:val="2"/>
            <w:vMerge w:val="restart"/>
            <w:shd w:val="clear" w:color="auto" w:fill="auto"/>
            <w:vAlign w:val="center"/>
          </w:tcPr>
          <w:p w:rsidR="00B516F6" w:rsidRPr="002829D6" w:rsidRDefault="00B516F6" w:rsidP="00F20A1E">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950" w:type="dxa"/>
            <w:vMerge w:val="restart"/>
            <w:shd w:val="clear" w:color="auto" w:fill="auto"/>
            <w:vAlign w:val="center"/>
          </w:tcPr>
          <w:p w:rsidR="00B516F6" w:rsidRPr="002829D6" w:rsidRDefault="00B516F6" w:rsidP="00F20A1E">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Grade</w:t>
            </w:r>
          </w:p>
        </w:tc>
        <w:tc>
          <w:tcPr>
            <w:tcW w:w="1310" w:type="dxa"/>
            <w:vMerge w:val="restart"/>
            <w:shd w:val="clear" w:color="auto" w:fill="auto"/>
            <w:vAlign w:val="center"/>
          </w:tcPr>
          <w:p w:rsidR="00B516F6" w:rsidRPr="002829D6" w:rsidRDefault="00B516F6" w:rsidP="00F20A1E">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Establishment</w:t>
            </w:r>
          </w:p>
        </w:tc>
        <w:tc>
          <w:tcPr>
            <w:tcW w:w="2744" w:type="dxa"/>
            <w:gridSpan w:val="3"/>
            <w:shd w:val="clear" w:color="auto" w:fill="auto"/>
            <w:vAlign w:val="center"/>
          </w:tcPr>
          <w:p w:rsidR="00B516F6" w:rsidRPr="002829D6" w:rsidRDefault="00C92D06"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Vacancies</w:t>
            </w:r>
          </w:p>
        </w:tc>
      </w:tr>
      <w:tr w:rsidR="00B516F6" w:rsidRPr="002829D6" w:rsidTr="00F20A1E">
        <w:tc>
          <w:tcPr>
            <w:tcW w:w="2158" w:type="dxa"/>
            <w:gridSpan w:val="2"/>
            <w:vMerge/>
            <w:shd w:val="clear" w:color="auto" w:fill="auto"/>
            <w:vAlign w:val="center"/>
          </w:tcPr>
          <w:p w:rsidR="00B516F6" w:rsidRPr="002829D6" w:rsidRDefault="00B516F6" w:rsidP="00F20A1E">
            <w:pPr>
              <w:pStyle w:val="ListParagraph"/>
              <w:spacing w:before="60" w:after="60" w:line="240" w:lineRule="auto"/>
              <w:ind w:left="0"/>
              <w:contextualSpacing/>
              <w:rPr>
                <w:rFonts w:ascii="Arial" w:hAnsi="Arial" w:cs="Arial"/>
                <w:sz w:val="16"/>
                <w:szCs w:val="16"/>
              </w:rPr>
            </w:pPr>
          </w:p>
        </w:tc>
        <w:tc>
          <w:tcPr>
            <w:tcW w:w="1950" w:type="dxa"/>
            <w:vMerge/>
            <w:shd w:val="clear" w:color="auto" w:fill="auto"/>
            <w:vAlign w:val="center"/>
          </w:tcPr>
          <w:p w:rsidR="00B516F6" w:rsidRPr="002829D6" w:rsidRDefault="00B516F6" w:rsidP="00F20A1E">
            <w:pPr>
              <w:pStyle w:val="ListParagraph"/>
              <w:spacing w:before="60" w:after="60" w:line="240" w:lineRule="auto"/>
              <w:ind w:left="0"/>
              <w:contextualSpacing/>
              <w:jc w:val="center"/>
              <w:rPr>
                <w:rFonts w:ascii="Arial" w:hAnsi="Arial" w:cs="Arial"/>
                <w:sz w:val="16"/>
                <w:szCs w:val="16"/>
              </w:rPr>
            </w:pPr>
          </w:p>
        </w:tc>
        <w:tc>
          <w:tcPr>
            <w:tcW w:w="1310" w:type="dxa"/>
            <w:vMerge/>
            <w:shd w:val="clear" w:color="auto" w:fill="auto"/>
            <w:vAlign w:val="center"/>
          </w:tcPr>
          <w:p w:rsidR="00B516F6" w:rsidRPr="002829D6" w:rsidRDefault="00B516F6" w:rsidP="00F20A1E">
            <w:pPr>
              <w:pStyle w:val="ListParagraph"/>
              <w:spacing w:before="60" w:after="60" w:line="240" w:lineRule="auto"/>
              <w:ind w:left="0"/>
              <w:contextualSpacing/>
              <w:jc w:val="center"/>
              <w:rPr>
                <w:rFonts w:ascii="Arial" w:hAnsi="Arial" w:cs="Arial"/>
                <w:sz w:val="16"/>
                <w:szCs w:val="16"/>
              </w:rPr>
            </w:pPr>
          </w:p>
        </w:tc>
        <w:tc>
          <w:tcPr>
            <w:tcW w:w="914" w:type="dxa"/>
            <w:shd w:val="clear" w:color="auto" w:fill="auto"/>
            <w:vAlign w:val="center"/>
          </w:tcPr>
          <w:p w:rsidR="00B516F6"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July</w:t>
            </w:r>
          </w:p>
        </w:tc>
        <w:tc>
          <w:tcPr>
            <w:tcW w:w="915" w:type="dxa"/>
            <w:shd w:val="clear" w:color="auto" w:fill="auto"/>
            <w:vAlign w:val="center"/>
          </w:tcPr>
          <w:p w:rsidR="00B516F6"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Aug</w:t>
            </w:r>
          </w:p>
        </w:tc>
        <w:tc>
          <w:tcPr>
            <w:tcW w:w="915" w:type="dxa"/>
            <w:shd w:val="clear" w:color="auto" w:fill="auto"/>
            <w:vAlign w:val="center"/>
          </w:tcPr>
          <w:p w:rsidR="00B516F6"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Sept</w:t>
            </w:r>
          </w:p>
        </w:tc>
      </w:tr>
      <w:tr w:rsidR="00C92D06" w:rsidRPr="002829D6" w:rsidTr="00F20A1E">
        <w:tc>
          <w:tcPr>
            <w:tcW w:w="2158" w:type="dxa"/>
            <w:gridSpan w:val="2"/>
            <w:vMerge w:val="restart"/>
            <w:shd w:val="clear" w:color="auto" w:fill="auto"/>
            <w:vAlign w:val="center"/>
          </w:tcPr>
          <w:p w:rsidR="00C92D06" w:rsidRPr="002829D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Ophthalmology</w:t>
            </w:r>
          </w:p>
        </w:tc>
        <w:tc>
          <w:tcPr>
            <w:tcW w:w="1950" w:type="dxa"/>
            <w:shd w:val="clear" w:color="auto" w:fill="auto"/>
            <w:vAlign w:val="center"/>
          </w:tcPr>
          <w:p w:rsidR="00C92D06" w:rsidRPr="002829D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C92D06" w:rsidRPr="002829D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B516F6">
        <w:tc>
          <w:tcPr>
            <w:tcW w:w="2158" w:type="dxa"/>
            <w:gridSpan w:val="2"/>
            <w:vMerge/>
            <w:shd w:val="clear" w:color="auto" w:fill="auto"/>
            <w:vAlign w:val="center"/>
          </w:tcPr>
          <w:p w:rsidR="00C92D06" w:rsidRPr="002829D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Pr="002829D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CT2</w:t>
            </w:r>
          </w:p>
        </w:tc>
        <w:tc>
          <w:tcPr>
            <w:tcW w:w="1310" w:type="dxa"/>
            <w:shd w:val="clear" w:color="auto" w:fill="auto"/>
            <w:vAlign w:val="center"/>
          </w:tcPr>
          <w:p w:rsidR="00C92D06" w:rsidRPr="002829D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B516F6">
        <w:tc>
          <w:tcPr>
            <w:tcW w:w="2158" w:type="dxa"/>
            <w:gridSpan w:val="2"/>
            <w:vMerge/>
            <w:shd w:val="clear" w:color="auto" w:fill="auto"/>
            <w:vAlign w:val="center"/>
          </w:tcPr>
          <w:p w:rsidR="00C92D06" w:rsidRPr="002829D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Pr="002829D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ST2</w:t>
            </w:r>
          </w:p>
        </w:tc>
        <w:tc>
          <w:tcPr>
            <w:tcW w:w="1310" w:type="dxa"/>
            <w:shd w:val="clear" w:color="auto" w:fill="auto"/>
            <w:vAlign w:val="center"/>
          </w:tcPr>
          <w:p w:rsidR="00C92D06" w:rsidRPr="002829D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9D69DF">
        <w:tc>
          <w:tcPr>
            <w:tcW w:w="2158" w:type="dxa"/>
            <w:gridSpan w:val="2"/>
            <w:vMerge/>
            <w:shd w:val="clear" w:color="auto" w:fill="auto"/>
            <w:vAlign w:val="center"/>
          </w:tcPr>
          <w:p w:rsidR="00C92D06" w:rsidRPr="002829D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Pr="002829D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92D06" w:rsidRPr="002829D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17.0</w:t>
            </w:r>
          </w:p>
        </w:tc>
        <w:tc>
          <w:tcPr>
            <w:tcW w:w="914" w:type="dxa"/>
            <w:shd w:val="clear" w:color="auto" w:fill="E5B8B7" w:themeFill="accent2" w:themeFillTint="66"/>
            <w:vAlign w:val="center"/>
          </w:tcPr>
          <w:p w:rsidR="00C92D06" w:rsidRPr="002829D6" w:rsidRDefault="002F40F8"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FFFFFF" w:themeFill="background1"/>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B516F6">
        <w:tc>
          <w:tcPr>
            <w:tcW w:w="2158" w:type="dxa"/>
            <w:gridSpan w:val="2"/>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Oral and Maxillofacial Surgery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F20A1E">
        <w:tc>
          <w:tcPr>
            <w:tcW w:w="2158" w:type="dxa"/>
            <w:gridSpan w:val="2"/>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Oral Medicine</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Non-Dental SpR/ 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B516F6">
        <w:tc>
          <w:tcPr>
            <w:tcW w:w="2158" w:type="dxa"/>
            <w:gridSpan w:val="2"/>
            <w:shd w:val="clear" w:color="auto" w:fill="auto"/>
            <w:vAlign w:val="center"/>
          </w:tcPr>
          <w:p w:rsidR="00C92D06" w:rsidRDefault="00C92D06" w:rsidP="004758DD">
            <w:pPr>
              <w:pStyle w:val="ListParagraph"/>
              <w:spacing w:before="60" w:after="60" w:line="240" w:lineRule="auto"/>
              <w:ind w:left="0"/>
              <w:contextualSpacing/>
              <w:rPr>
                <w:rFonts w:ascii="Arial" w:hAnsi="Arial" w:cs="Arial"/>
                <w:sz w:val="16"/>
                <w:szCs w:val="16"/>
              </w:rPr>
            </w:pPr>
            <w:r>
              <w:rPr>
                <w:rFonts w:ascii="Arial" w:hAnsi="Arial" w:cs="Arial"/>
                <w:sz w:val="16"/>
                <w:szCs w:val="16"/>
              </w:rPr>
              <w:t>Oral Rehab/Head &amp; Neck Fellowship</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Non-Dental SpR/ 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F20A1E">
        <w:tc>
          <w:tcPr>
            <w:tcW w:w="2158" w:type="dxa"/>
            <w:gridSpan w:val="2"/>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Oral Surgery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Non-Dental SpR/ 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B516F6">
        <w:tc>
          <w:tcPr>
            <w:tcW w:w="2158" w:type="dxa"/>
            <w:gridSpan w:val="2"/>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Orthodontics</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Non-Dental SpR/ 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B516F6">
        <w:tc>
          <w:tcPr>
            <w:tcW w:w="2158" w:type="dxa"/>
            <w:gridSpan w:val="2"/>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Otolaryngology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C13E9D">
        <w:tc>
          <w:tcPr>
            <w:tcW w:w="2158" w:type="dxa"/>
            <w:gridSpan w:val="2"/>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 xml:space="preserve">Paediatric and </w:t>
            </w:r>
            <w:proofErr w:type="spellStart"/>
            <w:r>
              <w:rPr>
                <w:rFonts w:ascii="Arial" w:hAnsi="Arial" w:cs="Arial"/>
                <w:sz w:val="16"/>
                <w:szCs w:val="16"/>
              </w:rPr>
              <w:t>Perionatal</w:t>
            </w:r>
            <w:proofErr w:type="spellEnd"/>
            <w:r>
              <w:rPr>
                <w:rFonts w:ascii="Arial" w:hAnsi="Arial" w:cs="Arial"/>
                <w:sz w:val="16"/>
                <w:szCs w:val="16"/>
              </w:rPr>
              <w:t xml:space="preserve"> Pathology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E5B8B7" w:themeFill="accent2" w:themeFillTint="66"/>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C92D06" w:rsidRPr="002829D6" w:rsidTr="00A70F00">
        <w:tc>
          <w:tcPr>
            <w:tcW w:w="2158" w:type="dxa"/>
            <w:gridSpan w:val="2"/>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Paediatric Cardiology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F20A1E">
        <w:tc>
          <w:tcPr>
            <w:tcW w:w="2158" w:type="dxa"/>
            <w:gridSpan w:val="2"/>
            <w:vMerge w:val="restart"/>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Paediatric Dentistry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Non-Dental SpR/ 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B516F6">
        <w:tc>
          <w:tcPr>
            <w:tcW w:w="2158" w:type="dxa"/>
            <w:gridSpan w:val="2"/>
            <w:vMerge/>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F20A1E">
        <w:tc>
          <w:tcPr>
            <w:tcW w:w="2158" w:type="dxa"/>
            <w:gridSpan w:val="2"/>
            <w:vMerge w:val="restart"/>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Paediatric Emergency Medicine</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F20A1E">
        <w:tc>
          <w:tcPr>
            <w:tcW w:w="2158" w:type="dxa"/>
            <w:gridSpan w:val="2"/>
            <w:vMerge/>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Default="00C92D06" w:rsidP="004758D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C13E9D">
        <w:tc>
          <w:tcPr>
            <w:tcW w:w="2158" w:type="dxa"/>
            <w:gridSpan w:val="2"/>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Paediatric Surgery</w:t>
            </w:r>
          </w:p>
        </w:tc>
        <w:tc>
          <w:tcPr>
            <w:tcW w:w="1950" w:type="dxa"/>
            <w:shd w:val="clear" w:color="auto" w:fill="auto"/>
            <w:vAlign w:val="center"/>
          </w:tcPr>
          <w:p w:rsidR="00C92D06" w:rsidRDefault="00C92D06" w:rsidP="004758D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E5B8B7" w:themeFill="accent2" w:themeFillTint="66"/>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C92D06" w:rsidRPr="002829D6" w:rsidTr="00F20A1E">
        <w:tc>
          <w:tcPr>
            <w:tcW w:w="2158" w:type="dxa"/>
            <w:gridSpan w:val="2"/>
            <w:vMerge w:val="restart"/>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Paediatrics</w:t>
            </w:r>
          </w:p>
        </w:tc>
        <w:tc>
          <w:tcPr>
            <w:tcW w:w="1950" w:type="dxa"/>
            <w:shd w:val="clear" w:color="auto" w:fill="auto"/>
            <w:vAlign w:val="center"/>
          </w:tcPr>
          <w:p w:rsidR="00C92D06" w:rsidRDefault="00C92D06" w:rsidP="004758D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F20A1E">
        <w:tc>
          <w:tcPr>
            <w:tcW w:w="2158" w:type="dxa"/>
            <w:gridSpan w:val="2"/>
            <w:vMerge/>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Default="00C92D06" w:rsidP="004758D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ST1</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4758DD" w:rsidRPr="002829D6" w:rsidTr="00C13E9D">
        <w:tc>
          <w:tcPr>
            <w:tcW w:w="2158" w:type="dxa"/>
            <w:gridSpan w:val="2"/>
            <w:vMerge/>
            <w:shd w:val="clear" w:color="auto" w:fill="auto"/>
            <w:vAlign w:val="center"/>
          </w:tcPr>
          <w:p w:rsidR="004758DD" w:rsidRDefault="004758DD"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4758DD" w:rsidRDefault="004758DD" w:rsidP="004758D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ST2</w:t>
            </w:r>
          </w:p>
        </w:tc>
        <w:tc>
          <w:tcPr>
            <w:tcW w:w="1310" w:type="dxa"/>
            <w:shd w:val="clear" w:color="auto" w:fill="auto"/>
            <w:vAlign w:val="center"/>
          </w:tcPr>
          <w:p w:rsidR="004758DD" w:rsidRDefault="004758DD"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20.0</w:t>
            </w:r>
          </w:p>
        </w:tc>
        <w:tc>
          <w:tcPr>
            <w:tcW w:w="914" w:type="dxa"/>
            <w:shd w:val="clear" w:color="auto" w:fill="E5B8B7"/>
            <w:vAlign w:val="center"/>
          </w:tcPr>
          <w:p w:rsidR="004758DD"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FFFFFF" w:themeFill="background1"/>
            <w:vAlign w:val="center"/>
          </w:tcPr>
          <w:p w:rsidR="004758DD" w:rsidRDefault="00C13E9D"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4758DD" w:rsidRDefault="00C13E9D"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094EC0">
        <w:tc>
          <w:tcPr>
            <w:tcW w:w="2158" w:type="dxa"/>
            <w:gridSpan w:val="2"/>
            <w:vMerge/>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Default="00C92D06" w:rsidP="004758D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ST3+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47.0</w:t>
            </w:r>
          </w:p>
        </w:tc>
        <w:tc>
          <w:tcPr>
            <w:tcW w:w="914" w:type="dxa"/>
            <w:shd w:val="clear" w:color="auto" w:fill="E5B8B7"/>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915" w:type="dxa"/>
            <w:shd w:val="clear" w:color="auto" w:fill="E5B8B7"/>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915" w:type="dxa"/>
            <w:shd w:val="clear" w:color="auto" w:fill="E5B8B7"/>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r>
      <w:tr w:rsidR="00C92D06" w:rsidRPr="002829D6" w:rsidTr="00F20A1E">
        <w:tc>
          <w:tcPr>
            <w:tcW w:w="2158" w:type="dxa"/>
            <w:gridSpan w:val="2"/>
            <w:vMerge/>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Default="00C92D06" w:rsidP="004758D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F20A1E">
        <w:tc>
          <w:tcPr>
            <w:tcW w:w="2158" w:type="dxa"/>
            <w:gridSpan w:val="2"/>
            <w:shd w:val="clear" w:color="auto" w:fill="auto"/>
            <w:vAlign w:val="center"/>
          </w:tcPr>
          <w:p w:rsidR="00931D68" w:rsidRPr="002829D6"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Plastic Surgery</w:t>
            </w:r>
          </w:p>
        </w:tc>
        <w:tc>
          <w:tcPr>
            <w:tcW w:w="1950" w:type="dxa"/>
            <w:shd w:val="clear" w:color="auto" w:fill="auto"/>
            <w:vAlign w:val="center"/>
          </w:tcPr>
          <w:p w:rsidR="00931D68" w:rsidRPr="002829D6"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D69DF">
        <w:tc>
          <w:tcPr>
            <w:tcW w:w="2158" w:type="dxa"/>
            <w:gridSpan w:val="2"/>
            <w:shd w:val="clear" w:color="auto" w:fill="auto"/>
            <w:vAlign w:val="center"/>
          </w:tcPr>
          <w:p w:rsidR="00931D68" w:rsidRPr="002829D6"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Rehabilitation Medicine</w:t>
            </w:r>
          </w:p>
        </w:tc>
        <w:tc>
          <w:tcPr>
            <w:tcW w:w="1950" w:type="dxa"/>
            <w:shd w:val="clear" w:color="auto" w:fill="auto"/>
            <w:vAlign w:val="center"/>
          </w:tcPr>
          <w:p w:rsidR="00931D68" w:rsidRPr="002829D6"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E5B8B7" w:themeFill="accent2" w:themeFillTint="66"/>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931D68" w:rsidRPr="002829D6" w:rsidTr="00F20A1E">
        <w:tc>
          <w:tcPr>
            <w:tcW w:w="2158" w:type="dxa"/>
            <w:gridSpan w:val="2"/>
            <w:vMerge w:val="restart"/>
            <w:shd w:val="clear" w:color="auto" w:fill="auto"/>
            <w:vAlign w:val="center"/>
          </w:tcPr>
          <w:p w:rsidR="00931D68" w:rsidRPr="002829D6"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Renal Medicine</w:t>
            </w:r>
          </w:p>
        </w:tc>
        <w:tc>
          <w:tcPr>
            <w:tcW w:w="1950" w:type="dxa"/>
            <w:shd w:val="clear" w:color="auto" w:fill="auto"/>
            <w:vAlign w:val="center"/>
          </w:tcPr>
          <w:p w:rsidR="00931D68" w:rsidRPr="002829D6"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D69DF">
        <w:tc>
          <w:tcPr>
            <w:tcW w:w="2158" w:type="dxa"/>
            <w:gridSpan w:val="2"/>
            <w:vMerge/>
            <w:shd w:val="clear" w:color="auto" w:fill="auto"/>
            <w:vAlign w:val="center"/>
          </w:tcPr>
          <w:p w:rsidR="00931D68" w:rsidRPr="002829D6" w:rsidRDefault="00931D68"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931D68" w:rsidRPr="002829D6"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8.0</w:t>
            </w:r>
          </w:p>
        </w:tc>
        <w:tc>
          <w:tcPr>
            <w:tcW w:w="914" w:type="dxa"/>
            <w:shd w:val="clear" w:color="auto" w:fill="E5B8B7" w:themeFill="accent2" w:themeFillTint="66"/>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31D68">
        <w:tc>
          <w:tcPr>
            <w:tcW w:w="2158" w:type="dxa"/>
            <w:gridSpan w:val="2"/>
            <w:vMerge w:val="restart"/>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Respiratory Medicine</w:t>
            </w:r>
          </w:p>
        </w:tc>
        <w:tc>
          <w:tcPr>
            <w:tcW w:w="1950" w:type="dxa"/>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931D68"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themeFill="background1"/>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31D68">
        <w:tc>
          <w:tcPr>
            <w:tcW w:w="2158" w:type="dxa"/>
            <w:gridSpan w:val="2"/>
            <w:vMerge/>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931D68"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FFFFFF" w:themeFill="background1"/>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31D68">
        <w:tc>
          <w:tcPr>
            <w:tcW w:w="2158" w:type="dxa"/>
            <w:gridSpan w:val="2"/>
            <w:vMerge/>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931D68"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themeFill="background1"/>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31D68">
        <w:tc>
          <w:tcPr>
            <w:tcW w:w="2158" w:type="dxa"/>
            <w:gridSpan w:val="2"/>
            <w:vMerge w:val="restart"/>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Restorative Dentistry</w:t>
            </w:r>
          </w:p>
        </w:tc>
        <w:tc>
          <w:tcPr>
            <w:tcW w:w="1950" w:type="dxa"/>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SpR/Specialty Trainee Level 3+</w:t>
            </w:r>
          </w:p>
        </w:tc>
        <w:tc>
          <w:tcPr>
            <w:tcW w:w="1310" w:type="dxa"/>
            <w:shd w:val="clear" w:color="auto" w:fill="auto"/>
            <w:vAlign w:val="center"/>
          </w:tcPr>
          <w:p w:rsidR="00931D68"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FFFFFF" w:themeFill="background1"/>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31D68">
        <w:tc>
          <w:tcPr>
            <w:tcW w:w="2158" w:type="dxa"/>
            <w:gridSpan w:val="2"/>
            <w:vMerge/>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Other SpR/Specialty Trainee Level 3+</w:t>
            </w:r>
          </w:p>
        </w:tc>
        <w:tc>
          <w:tcPr>
            <w:tcW w:w="1310" w:type="dxa"/>
            <w:shd w:val="clear" w:color="auto" w:fill="auto"/>
            <w:vAlign w:val="center"/>
          </w:tcPr>
          <w:p w:rsidR="00931D68"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themeFill="background1"/>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31D68">
        <w:tc>
          <w:tcPr>
            <w:tcW w:w="2158" w:type="dxa"/>
            <w:gridSpan w:val="2"/>
            <w:vMerge w:val="restart"/>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Rheumatology</w:t>
            </w:r>
          </w:p>
        </w:tc>
        <w:tc>
          <w:tcPr>
            <w:tcW w:w="1950" w:type="dxa"/>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931D68"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FFFFFF" w:themeFill="background1"/>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31D68" w:rsidRPr="002829D6" w:rsidTr="00931D68">
        <w:tc>
          <w:tcPr>
            <w:tcW w:w="2158" w:type="dxa"/>
            <w:gridSpan w:val="2"/>
            <w:vMerge/>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931D68" w:rsidRDefault="00931D68"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931D68"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themeFill="background1"/>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931D68" w:rsidRPr="002829D6" w:rsidRDefault="00931D68"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bl>
    <w:p w:rsidR="004758DD" w:rsidRDefault="004758DD" w:rsidP="00A605E6">
      <w:pPr>
        <w:pStyle w:val="ListParagraph"/>
        <w:ind w:left="360"/>
        <w:contextualSpacing/>
        <w:jc w:val="both"/>
        <w:rPr>
          <w:rFonts w:ascii="Arial" w:hAnsi="Arial" w:cs="Arial"/>
          <w:sz w:val="21"/>
          <w:szCs w:val="21"/>
        </w:rPr>
      </w:pPr>
    </w:p>
    <w:p w:rsidR="004758DD" w:rsidRPr="00A605E6" w:rsidRDefault="004758DD" w:rsidP="00A605E6">
      <w:pPr>
        <w:pStyle w:val="ListParagraph"/>
        <w:ind w:left="360"/>
        <w:contextualSpacing/>
        <w:jc w:val="both"/>
        <w:rPr>
          <w:rFonts w:ascii="Arial" w:hAnsi="Arial" w:cs="Arial"/>
          <w:sz w:val="21"/>
          <w:szCs w:val="21"/>
        </w:rPr>
      </w:pPr>
      <w:r>
        <w:rPr>
          <w:rFonts w:ascii="Arial" w:hAnsi="Arial" w:cs="Arial"/>
          <w:sz w:val="21"/>
          <w:szCs w:val="21"/>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59"/>
        <w:gridCol w:w="1950"/>
        <w:gridCol w:w="1310"/>
        <w:gridCol w:w="914"/>
        <w:gridCol w:w="915"/>
        <w:gridCol w:w="915"/>
      </w:tblGrid>
      <w:tr w:rsidR="004758DD" w:rsidRPr="002829D6" w:rsidTr="00F20A1E">
        <w:tc>
          <w:tcPr>
            <w:tcW w:w="599" w:type="dxa"/>
            <w:tcBorders>
              <w:right w:val="nil"/>
            </w:tcBorders>
            <w:shd w:val="clear" w:color="auto" w:fill="BFBFBF"/>
          </w:tcPr>
          <w:p w:rsidR="004758DD" w:rsidRPr="002829D6" w:rsidRDefault="004758DD" w:rsidP="00F20A1E">
            <w:pPr>
              <w:pStyle w:val="ListParagraph"/>
              <w:spacing w:before="60" w:after="60" w:line="240" w:lineRule="auto"/>
              <w:ind w:left="0"/>
              <w:contextualSpacing/>
              <w:jc w:val="both"/>
              <w:rPr>
                <w:rFonts w:ascii="Arial" w:hAnsi="Arial" w:cs="Arial"/>
                <w:b/>
                <w:sz w:val="21"/>
                <w:szCs w:val="21"/>
              </w:rPr>
            </w:pPr>
          </w:p>
        </w:tc>
        <w:tc>
          <w:tcPr>
            <w:tcW w:w="7563" w:type="dxa"/>
            <w:gridSpan w:val="6"/>
            <w:tcBorders>
              <w:left w:val="nil"/>
            </w:tcBorders>
            <w:shd w:val="clear" w:color="auto" w:fill="BFBFBF"/>
            <w:vAlign w:val="center"/>
          </w:tcPr>
          <w:p w:rsidR="004758DD" w:rsidRPr="002829D6" w:rsidRDefault="004758DD" w:rsidP="00A71A97">
            <w:pPr>
              <w:pStyle w:val="ListParagraph"/>
              <w:spacing w:before="60" w:after="60" w:line="240" w:lineRule="auto"/>
              <w:ind w:left="0"/>
              <w:contextualSpacing/>
              <w:jc w:val="right"/>
              <w:rPr>
                <w:rFonts w:ascii="Arial" w:hAnsi="Arial" w:cs="Arial"/>
                <w:b/>
                <w:i/>
                <w:sz w:val="21"/>
                <w:szCs w:val="21"/>
              </w:rPr>
            </w:pPr>
            <w:r w:rsidRPr="002829D6">
              <w:rPr>
                <w:rFonts w:ascii="Arial" w:hAnsi="Arial" w:cs="Arial"/>
                <w:b/>
                <w:sz w:val="21"/>
                <w:szCs w:val="21"/>
              </w:rPr>
              <w:t xml:space="preserve">                                        </w:t>
            </w:r>
          </w:p>
        </w:tc>
      </w:tr>
      <w:tr w:rsidR="004758DD" w:rsidRPr="002829D6" w:rsidTr="00F20A1E">
        <w:tc>
          <w:tcPr>
            <w:tcW w:w="2158" w:type="dxa"/>
            <w:gridSpan w:val="2"/>
            <w:vMerge w:val="restart"/>
            <w:shd w:val="clear" w:color="auto" w:fill="auto"/>
            <w:vAlign w:val="center"/>
          </w:tcPr>
          <w:p w:rsidR="004758DD" w:rsidRPr="002829D6" w:rsidRDefault="004758DD" w:rsidP="00F20A1E">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950" w:type="dxa"/>
            <w:vMerge w:val="restart"/>
            <w:shd w:val="clear" w:color="auto" w:fill="auto"/>
            <w:vAlign w:val="center"/>
          </w:tcPr>
          <w:p w:rsidR="004758DD" w:rsidRPr="002829D6" w:rsidRDefault="004758DD" w:rsidP="00F20A1E">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Grade</w:t>
            </w:r>
          </w:p>
        </w:tc>
        <w:tc>
          <w:tcPr>
            <w:tcW w:w="1310" w:type="dxa"/>
            <w:vMerge w:val="restart"/>
            <w:shd w:val="clear" w:color="auto" w:fill="auto"/>
            <w:vAlign w:val="center"/>
          </w:tcPr>
          <w:p w:rsidR="004758DD" w:rsidRPr="002829D6" w:rsidRDefault="004758DD" w:rsidP="00F20A1E">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Establishment</w:t>
            </w:r>
          </w:p>
        </w:tc>
        <w:tc>
          <w:tcPr>
            <w:tcW w:w="2744" w:type="dxa"/>
            <w:gridSpan w:val="3"/>
            <w:shd w:val="clear" w:color="auto" w:fill="auto"/>
            <w:vAlign w:val="center"/>
          </w:tcPr>
          <w:p w:rsidR="004758DD" w:rsidRPr="002829D6" w:rsidRDefault="00A71A97"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Vacancies</w:t>
            </w:r>
          </w:p>
        </w:tc>
      </w:tr>
      <w:tr w:rsidR="004758DD" w:rsidRPr="002829D6" w:rsidTr="00F20A1E">
        <w:tc>
          <w:tcPr>
            <w:tcW w:w="2158" w:type="dxa"/>
            <w:gridSpan w:val="2"/>
            <w:vMerge/>
            <w:shd w:val="clear" w:color="auto" w:fill="auto"/>
            <w:vAlign w:val="center"/>
          </w:tcPr>
          <w:p w:rsidR="004758DD" w:rsidRPr="002829D6" w:rsidRDefault="004758DD" w:rsidP="00F20A1E">
            <w:pPr>
              <w:pStyle w:val="ListParagraph"/>
              <w:spacing w:before="60" w:after="60" w:line="240" w:lineRule="auto"/>
              <w:ind w:left="0"/>
              <w:contextualSpacing/>
              <w:rPr>
                <w:rFonts w:ascii="Arial" w:hAnsi="Arial" w:cs="Arial"/>
                <w:sz w:val="16"/>
                <w:szCs w:val="16"/>
              </w:rPr>
            </w:pPr>
          </w:p>
        </w:tc>
        <w:tc>
          <w:tcPr>
            <w:tcW w:w="1950" w:type="dxa"/>
            <w:vMerge/>
            <w:shd w:val="clear" w:color="auto" w:fill="auto"/>
            <w:vAlign w:val="center"/>
          </w:tcPr>
          <w:p w:rsidR="004758DD" w:rsidRPr="002829D6" w:rsidRDefault="004758DD" w:rsidP="00F20A1E">
            <w:pPr>
              <w:pStyle w:val="ListParagraph"/>
              <w:spacing w:before="60" w:after="60" w:line="240" w:lineRule="auto"/>
              <w:ind w:left="0"/>
              <w:contextualSpacing/>
              <w:jc w:val="center"/>
              <w:rPr>
                <w:rFonts w:ascii="Arial" w:hAnsi="Arial" w:cs="Arial"/>
                <w:sz w:val="16"/>
                <w:szCs w:val="16"/>
              </w:rPr>
            </w:pPr>
          </w:p>
        </w:tc>
        <w:tc>
          <w:tcPr>
            <w:tcW w:w="1310" w:type="dxa"/>
            <w:vMerge/>
            <w:shd w:val="clear" w:color="auto" w:fill="auto"/>
            <w:vAlign w:val="center"/>
          </w:tcPr>
          <w:p w:rsidR="004758DD" w:rsidRPr="002829D6" w:rsidRDefault="004758DD" w:rsidP="00F20A1E">
            <w:pPr>
              <w:pStyle w:val="ListParagraph"/>
              <w:spacing w:before="60" w:after="60" w:line="240" w:lineRule="auto"/>
              <w:ind w:left="0"/>
              <w:contextualSpacing/>
              <w:jc w:val="center"/>
              <w:rPr>
                <w:rFonts w:ascii="Arial" w:hAnsi="Arial" w:cs="Arial"/>
                <w:sz w:val="16"/>
                <w:szCs w:val="16"/>
              </w:rPr>
            </w:pPr>
          </w:p>
        </w:tc>
        <w:tc>
          <w:tcPr>
            <w:tcW w:w="914" w:type="dxa"/>
            <w:shd w:val="clear" w:color="auto" w:fill="auto"/>
            <w:vAlign w:val="center"/>
          </w:tcPr>
          <w:p w:rsidR="004758DD"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July</w:t>
            </w:r>
          </w:p>
        </w:tc>
        <w:tc>
          <w:tcPr>
            <w:tcW w:w="915" w:type="dxa"/>
            <w:shd w:val="clear" w:color="auto" w:fill="auto"/>
            <w:vAlign w:val="center"/>
          </w:tcPr>
          <w:p w:rsidR="004758DD"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Aug</w:t>
            </w:r>
          </w:p>
        </w:tc>
        <w:tc>
          <w:tcPr>
            <w:tcW w:w="915" w:type="dxa"/>
            <w:shd w:val="clear" w:color="auto" w:fill="auto"/>
            <w:vAlign w:val="center"/>
          </w:tcPr>
          <w:p w:rsidR="004758DD"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Sept</w:t>
            </w:r>
          </w:p>
        </w:tc>
      </w:tr>
      <w:tr w:rsidR="00C92D06" w:rsidRPr="002829D6" w:rsidTr="00F20A1E">
        <w:tc>
          <w:tcPr>
            <w:tcW w:w="2158" w:type="dxa"/>
            <w:gridSpan w:val="2"/>
            <w:vMerge w:val="restart"/>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Trauma and Orthopaedic Surgery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A3720" w:rsidRPr="002829D6" w:rsidTr="00C13E9D">
        <w:tc>
          <w:tcPr>
            <w:tcW w:w="2158" w:type="dxa"/>
            <w:gridSpan w:val="2"/>
            <w:vMerge/>
            <w:shd w:val="clear" w:color="auto" w:fill="auto"/>
            <w:vAlign w:val="center"/>
          </w:tcPr>
          <w:p w:rsidR="00BA3720" w:rsidRDefault="00BA3720"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BA3720" w:rsidRDefault="00BA3720"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BA3720" w:rsidRDefault="00BA3720"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7.0</w:t>
            </w:r>
          </w:p>
        </w:tc>
        <w:tc>
          <w:tcPr>
            <w:tcW w:w="914" w:type="dxa"/>
            <w:shd w:val="clear" w:color="auto" w:fill="E5B8B7"/>
            <w:vAlign w:val="center"/>
          </w:tcPr>
          <w:p w:rsidR="00BA3720" w:rsidRDefault="002F40F8"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FFFFFF" w:themeFill="background1"/>
            <w:vAlign w:val="center"/>
          </w:tcPr>
          <w:p w:rsidR="00BA3720" w:rsidRDefault="00C13E9D"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BA3720" w:rsidRDefault="00C13E9D"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4758DD">
        <w:tc>
          <w:tcPr>
            <w:tcW w:w="2158" w:type="dxa"/>
            <w:gridSpan w:val="2"/>
            <w:vMerge w:val="restart"/>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Urology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C13E9D">
        <w:tc>
          <w:tcPr>
            <w:tcW w:w="2158" w:type="dxa"/>
            <w:gridSpan w:val="2"/>
            <w:vMerge/>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E5B8B7"/>
            <w:vAlign w:val="center"/>
          </w:tcPr>
          <w:p w:rsidR="00C92D06" w:rsidRPr="002829D6" w:rsidRDefault="002F40F8"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915" w:type="dxa"/>
            <w:shd w:val="clear" w:color="auto" w:fill="FFFFFF" w:themeFill="background1"/>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92D06" w:rsidRPr="002829D6" w:rsidRDefault="00C13E9D"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92D06" w:rsidRPr="002829D6" w:rsidTr="00F20A1E">
        <w:tc>
          <w:tcPr>
            <w:tcW w:w="2158" w:type="dxa"/>
            <w:gridSpan w:val="2"/>
            <w:vMerge w:val="restart"/>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Vascular Surgery</w:t>
            </w:r>
          </w:p>
        </w:tc>
        <w:tc>
          <w:tcPr>
            <w:tcW w:w="1950" w:type="dxa"/>
            <w:shd w:val="clear" w:color="auto" w:fill="auto"/>
            <w:vAlign w:val="center"/>
          </w:tcPr>
          <w:p w:rsidR="00C92D06" w:rsidRDefault="00C92D06"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C92D06"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C92D06" w:rsidRPr="002829D6" w:rsidRDefault="00C92D06"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A3720" w:rsidRPr="002829D6" w:rsidTr="00C13E9D">
        <w:tc>
          <w:tcPr>
            <w:tcW w:w="2158" w:type="dxa"/>
            <w:gridSpan w:val="2"/>
            <w:vMerge/>
            <w:shd w:val="clear" w:color="auto" w:fill="auto"/>
            <w:vAlign w:val="center"/>
          </w:tcPr>
          <w:p w:rsidR="00BA3720" w:rsidRDefault="00BA3720"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BA3720" w:rsidRDefault="00BA3720"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BA3720" w:rsidRDefault="00BA3720"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E5B8B7"/>
            <w:vAlign w:val="center"/>
          </w:tcPr>
          <w:p w:rsidR="00BA3720" w:rsidRDefault="00C92D06"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FFFFFF" w:themeFill="background1"/>
            <w:vAlign w:val="center"/>
          </w:tcPr>
          <w:p w:rsidR="00BA3720" w:rsidRDefault="00C13E9D"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BA3720" w:rsidRDefault="00C13E9D"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A3720" w:rsidRPr="002829D6" w:rsidTr="002D1DE4">
        <w:tc>
          <w:tcPr>
            <w:tcW w:w="2158" w:type="dxa"/>
            <w:gridSpan w:val="2"/>
            <w:shd w:val="clear" w:color="auto" w:fill="B8CCE4"/>
            <w:vAlign w:val="center"/>
          </w:tcPr>
          <w:p w:rsidR="00BA3720" w:rsidRPr="00BA3720" w:rsidRDefault="00BA3720" w:rsidP="00F20A1E">
            <w:pPr>
              <w:pStyle w:val="ListParagraph"/>
              <w:spacing w:before="60" w:after="60" w:line="240" w:lineRule="auto"/>
              <w:ind w:left="0"/>
              <w:contextualSpacing/>
              <w:rPr>
                <w:rFonts w:ascii="Arial" w:hAnsi="Arial" w:cs="Arial"/>
                <w:b/>
                <w:sz w:val="16"/>
                <w:szCs w:val="16"/>
              </w:rPr>
            </w:pPr>
            <w:r>
              <w:rPr>
                <w:rFonts w:ascii="Arial" w:hAnsi="Arial" w:cs="Arial"/>
                <w:b/>
                <w:sz w:val="16"/>
                <w:szCs w:val="16"/>
              </w:rPr>
              <w:t>Grand Total</w:t>
            </w:r>
          </w:p>
        </w:tc>
        <w:tc>
          <w:tcPr>
            <w:tcW w:w="1950" w:type="dxa"/>
            <w:shd w:val="clear" w:color="auto" w:fill="B8CCE4"/>
            <w:vAlign w:val="center"/>
          </w:tcPr>
          <w:p w:rsidR="00BA3720" w:rsidRDefault="00BA3720" w:rsidP="00F20A1E">
            <w:pPr>
              <w:pStyle w:val="ListParagraph"/>
              <w:spacing w:before="60" w:after="60" w:line="240" w:lineRule="auto"/>
              <w:ind w:left="0"/>
              <w:contextualSpacing/>
              <w:rPr>
                <w:rFonts w:ascii="Arial" w:hAnsi="Arial" w:cs="Arial"/>
                <w:sz w:val="16"/>
                <w:szCs w:val="16"/>
              </w:rPr>
            </w:pPr>
          </w:p>
        </w:tc>
        <w:tc>
          <w:tcPr>
            <w:tcW w:w="1310" w:type="dxa"/>
            <w:shd w:val="clear" w:color="auto" w:fill="B8CCE4"/>
            <w:vAlign w:val="center"/>
          </w:tcPr>
          <w:p w:rsidR="00BA3720" w:rsidRPr="00BA3720" w:rsidRDefault="00091BBB"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540</w:t>
            </w:r>
            <w:r w:rsidR="00BA3720">
              <w:rPr>
                <w:rFonts w:ascii="Arial" w:hAnsi="Arial" w:cs="Arial"/>
                <w:b/>
                <w:sz w:val="16"/>
                <w:szCs w:val="16"/>
              </w:rPr>
              <w:t>.0</w:t>
            </w:r>
          </w:p>
        </w:tc>
        <w:tc>
          <w:tcPr>
            <w:tcW w:w="914" w:type="dxa"/>
            <w:shd w:val="clear" w:color="auto" w:fill="C6D9F1"/>
            <w:vAlign w:val="center"/>
          </w:tcPr>
          <w:p w:rsidR="00BA3720" w:rsidRPr="00BA3720" w:rsidRDefault="00BA1E46"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34</w:t>
            </w:r>
          </w:p>
        </w:tc>
        <w:tc>
          <w:tcPr>
            <w:tcW w:w="915" w:type="dxa"/>
            <w:shd w:val="clear" w:color="auto" w:fill="C6D9F1"/>
            <w:vAlign w:val="center"/>
          </w:tcPr>
          <w:p w:rsidR="00BA3720" w:rsidRPr="00BA3720" w:rsidRDefault="009F49F6"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28</w:t>
            </w:r>
          </w:p>
        </w:tc>
        <w:tc>
          <w:tcPr>
            <w:tcW w:w="915" w:type="dxa"/>
            <w:shd w:val="clear" w:color="auto" w:fill="C6D9F1"/>
            <w:vAlign w:val="center"/>
          </w:tcPr>
          <w:p w:rsidR="00BA3720" w:rsidRPr="00BA3720" w:rsidRDefault="009F49F6"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26</w:t>
            </w:r>
          </w:p>
        </w:tc>
      </w:tr>
    </w:tbl>
    <w:p w:rsidR="00A605E6" w:rsidRDefault="00A605E6" w:rsidP="00A605E6">
      <w:pPr>
        <w:pStyle w:val="ListParagraph"/>
        <w:ind w:left="360"/>
        <w:contextualSpacing/>
        <w:jc w:val="both"/>
        <w:rPr>
          <w:rFonts w:ascii="Arial" w:hAnsi="Arial" w:cs="Arial"/>
          <w:sz w:val="21"/>
          <w:szCs w:val="21"/>
        </w:rPr>
      </w:pPr>
    </w:p>
    <w:p w:rsidR="002841C6" w:rsidRDefault="002841C6" w:rsidP="00A605E6">
      <w:pPr>
        <w:pStyle w:val="ListParagraph"/>
        <w:ind w:left="360"/>
        <w:contextualSpacing/>
        <w:jc w:val="both"/>
        <w:rPr>
          <w:rFonts w:ascii="Arial" w:hAnsi="Arial" w:cs="Arial"/>
          <w:sz w:val="21"/>
          <w:szCs w:val="21"/>
        </w:rPr>
      </w:pPr>
    </w:p>
    <w:p w:rsidR="002841C6" w:rsidRDefault="002841C6" w:rsidP="00A605E6">
      <w:pPr>
        <w:pStyle w:val="ListParagraph"/>
        <w:ind w:left="36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59"/>
        <w:gridCol w:w="1950"/>
        <w:gridCol w:w="1310"/>
        <w:gridCol w:w="914"/>
        <w:gridCol w:w="915"/>
        <w:gridCol w:w="915"/>
      </w:tblGrid>
      <w:tr w:rsidR="00BA3720" w:rsidRPr="002829D6" w:rsidTr="00F20A1E">
        <w:tc>
          <w:tcPr>
            <w:tcW w:w="599" w:type="dxa"/>
            <w:tcBorders>
              <w:right w:val="nil"/>
            </w:tcBorders>
            <w:shd w:val="clear" w:color="auto" w:fill="BFBFBF"/>
          </w:tcPr>
          <w:p w:rsidR="00BA3720" w:rsidRPr="002829D6" w:rsidRDefault="00BA3720" w:rsidP="00BA3720">
            <w:pPr>
              <w:pStyle w:val="ListParagraph"/>
              <w:spacing w:before="60" w:after="60" w:line="240" w:lineRule="auto"/>
              <w:ind w:left="0"/>
              <w:contextualSpacing/>
              <w:jc w:val="both"/>
              <w:rPr>
                <w:rFonts w:ascii="Arial" w:hAnsi="Arial" w:cs="Arial"/>
                <w:b/>
                <w:sz w:val="21"/>
                <w:szCs w:val="21"/>
              </w:rPr>
            </w:pPr>
            <w:r w:rsidRPr="002829D6">
              <w:rPr>
                <w:rFonts w:ascii="Arial" w:hAnsi="Arial" w:cs="Arial"/>
                <w:b/>
                <w:sz w:val="21"/>
                <w:szCs w:val="21"/>
              </w:rPr>
              <w:t>6.</w:t>
            </w:r>
            <w:r>
              <w:rPr>
                <w:rFonts w:ascii="Arial" w:hAnsi="Arial" w:cs="Arial"/>
                <w:b/>
                <w:sz w:val="21"/>
                <w:szCs w:val="21"/>
              </w:rPr>
              <w:t>2</w:t>
            </w:r>
          </w:p>
        </w:tc>
        <w:tc>
          <w:tcPr>
            <w:tcW w:w="7563" w:type="dxa"/>
            <w:gridSpan w:val="6"/>
            <w:tcBorders>
              <w:left w:val="nil"/>
            </w:tcBorders>
            <w:shd w:val="clear" w:color="auto" w:fill="BFBFBF"/>
            <w:vAlign w:val="center"/>
          </w:tcPr>
          <w:p w:rsidR="00BA3720" w:rsidRPr="002829D6" w:rsidRDefault="00BA3720" w:rsidP="006D4B22">
            <w:pPr>
              <w:pStyle w:val="ListParagraph"/>
              <w:spacing w:before="60" w:after="60" w:line="240" w:lineRule="auto"/>
              <w:ind w:left="0"/>
              <w:contextualSpacing/>
              <w:rPr>
                <w:rFonts w:ascii="Arial" w:hAnsi="Arial" w:cs="Arial"/>
                <w:b/>
                <w:i/>
                <w:sz w:val="21"/>
                <w:szCs w:val="21"/>
              </w:rPr>
            </w:pPr>
            <w:r>
              <w:rPr>
                <w:rFonts w:ascii="Arial" w:hAnsi="Arial" w:cs="Arial"/>
                <w:b/>
                <w:sz w:val="21"/>
                <w:szCs w:val="21"/>
              </w:rPr>
              <w:t>Wythenshawe Hospital site</w:t>
            </w:r>
            <w:r w:rsidRPr="002829D6">
              <w:rPr>
                <w:rFonts w:ascii="Arial" w:hAnsi="Arial" w:cs="Arial"/>
                <w:b/>
                <w:sz w:val="21"/>
                <w:szCs w:val="21"/>
              </w:rPr>
              <w:t xml:space="preserve">                                      </w:t>
            </w:r>
          </w:p>
        </w:tc>
      </w:tr>
      <w:tr w:rsidR="00BA3720" w:rsidRPr="002829D6" w:rsidTr="00F20A1E">
        <w:tc>
          <w:tcPr>
            <w:tcW w:w="2158" w:type="dxa"/>
            <w:gridSpan w:val="2"/>
            <w:vMerge w:val="restart"/>
            <w:shd w:val="clear" w:color="auto" w:fill="auto"/>
            <w:vAlign w:val="center"/>
          </w:tcPr>
          <w:p w:rsidR="00BA3720" w:rsidRPr="002829D6" w:rsidRDefault="00BA3720" w:rsidP="00F20A1E">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950" w:type="dxa"/>
            <w:vMerge w:val="restart"/>
            <w:shd w:val="clear" w:color="auto" w:fill="auto"/>
            <w:vAlign w:val="center"/>
          </w:tcPr>
          <w:p w:rsidR="00BA3720" w:rsidRPr="002829D6" w:rsidRDefault="00BA3720" w:rsidP="00F20A1E">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Grade</w:t>
            </w:r>
          </w:p>
        </w:tc>
        <w:tc>
          <w:tcPr>
            <w:tcW w:w="1310" w:type="dxa"/>
            <w:vMerge w:val="restart"/>
            <w:shd w:val="clear" w:color="auto" w:fill="auto"/>
            <w:vAlign w:val="center"/>
          </w:tcPr>
          <w:p w:rsidR="00BA3720" w:rsidRPr="002829D6" w:rsidRDefault="00BA3720" w:rsidP="00F20A1E">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Establishment</w:t>
            </w:r>
          </w:p>
        </w:tc>
        <w:tc>
          <w:tcPr>
            <w:tcW w:w="2744" w:type="dxa"/>
            <w:gridSpan w:val="3"/>
            <w:shd w:val="clear" w:color="auto" w:fill="auto"/>
            <w:vAlign w:val="center"/>
          </w:tcPr>
          <w:p w:rsidR="00BA3720" w:rsidRPr="002829D6" w:rsidRDefault="006D4B22"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Vacancies</w:t>
            </w:r>
          </w:p>
        </w:tc>
      </w:tr>
      <w:tr w:rsidR="00BA3720" w:rsidRPr="002829D6" w:rsidTr="00664C80">
        <w:tc>
          <w:tcPr>
            <w:tcW w:w="2158" w:type="dxa"/>
            <w:gridSpan w:val="2"/>
            <w:vMerge/>
            <w:shd w:val="clear" w:color="auto" w:fill="auto"/>
            <w:vAlign w:val="center"/>
          </w:tcPr>
          <w:p w:rsidR="00BA3720" w:rsidRPr="002829D6" w:rsidRDefault="00BA3720" w:rsidP="00F20A1E">
            <w:pPr>
              <w:pStyle w:val="ListParagraph"/>
              <w:spacing w:before="60" w:after="60" w:line="240" w:lineRule="auto"/>
              <w:ind w:left="0"/>
              <w:contextualSpacing/>
              <w:rPr>
                <w:rFonts w:ascii="Arial" w:hAnsi="Arial" w:cs="Arial"/>
                <w:sz w:val="16"/>
                <w:szCs w:val="16"/>
              </w:rPr>
            </w:pPr>
          </w:p>
        </w:tc>
        <w:tc>
          <w:tcPr>
            <w:tcW w:w="1950" w:type="dxa"/>
            <w:vMerge/>
            <w:shd w:val="clear" w:color="auto" w:fill="auto"/>
            <w:vAlign w:val="center"/>
          </w:tcPr>
          <w:p w:rsidR="00BA3720" w:rsidRPr="002829D6" w:rsidRDefault="00BA3720" w:rsidP="00F20A1E">
            <w:pPr>
              <w:pStyle w:val="ListParagraph"/>
              <w:spacing w:before="60" w:after="60" w:line="240" w:lineRule="auto"/>
              <w:ind w:left="0"/>
              <w:contextualSpacing/>
              <w:jc w:val="center"/>
              <w:rPr>
                <w:rFonts w:ascii="Arial" w:hAnsi="Arial" w:cs="Arial"/>
                <w:sz w:val="16"/>
                <w:szCs w:val="16"/>
              </w:rPr>
            </w:pPr>
          </w:p>
        </w:tc>
        <w:tc>
          <w:tcPr>
            <w:tcW w:w="1310" w:type="dxa"/>
            <w:vMerge/>
            <w:shd w:val="clear" w:color="auto" w:fill="auto"/>
            <w:vAlign w:val="center"/>
          </w:tcPr>
          <w:p w:rsidR="00BA3720" w:rsidRPr="002829D6" w:rsidRDefault="00BA3720" w:rsidP="00F20A1E">
            <w:pPr>
              <w:pStyle w:val="ListParagraph"/>
              <w:spacing w:before="60" w:after="60" w:line="240" w:lineRule="auto"/>
              <w:ind w:left="0"/>
              <w:contextualSpacing/>
              <w:jc w:val="center"/>
              <w:rPr>
                <w:rFonts w:ascii="Arial" w:hAnsi="Arial" w:cs="Arial"/>
                <w:sz w:val="16"/>
                <w:szCs w:val="16"/>
              </w:rPr>
            </w:pPr>
          </w:p>
        </w:tc>
        <w:tc>
          <w:tcPr>
            <w:tcW w:w="914" w:type="dxa"/>
            <w:tcBorders>
              <w:bottom w:val="single" w:sz="4" w:space="0" w:color="auto"/>
            </w:tcBorders>
            <w:shd w:val="clear" w:color="auto" w:fill="auto"/>
            <w:vAlign w:val="center"/>
          </w:tcPr>
          <w:p w:rsidR="00BA3720"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July</w:t>
            </w:r>
          </w:p>
        </w:tc>
        <w:tc>
          <w:tcPr>
            <w:tcW w:w="915" w:type="dxa"/>
            <w:tcBorders>
              <w:bottom w:val="single" w:sz="4" w:space="0" w:color="auto"/>
            </w:tcBorders>
            <w:shd w:val="clear" w:color="auto" w:fill="auto"/>
            <w:vAlign w:val="center"/>
          </w:tcPr>
          <w:p w:rsidR="00BA3720"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Aug</w:t>
            </w:r>
          </w:p>
        </w:tc>
        <w:tc>
          <w:tcPr>
            <w:tcW w:w="915" w:type="dxa"/>
            <w:tcBorders>
              <w:bottom w:val="single" w:sz="4" w:space="0" w:color="auto"/>
            </w:tcBorders>
            <w:shd w:val="clear" w:color="auto" w:fill="auto"/>
            <w:vAlign w:val="center"/>
          </w:tcPr>
          <w:p w:rsidR="00BA3720" w:rsidRPr="002829D6" w:rsidRDefault="005C2C33" w:rsidP="00A36ECF">
            <w:pPr>
              <w:pStyle w:val="ListParagraph"/>
              <w:spacing w:before="60" w:after="60" w:line="240" w:lineRule="auto"/>
              <w:ind w:left="0"/>
              <w:contextualSpacing/>
              <w:rPr>
                <w:rFonts w:ascii="Arial" w:hAnsi="Arial" w:cs="Arial"/>
                <w:b/>
                <w:sz w:val="16"/>
                <w:szCs w:val="16"/>
              </w:rPr>
            </w:pPr>
            <w:r>
              <w:rPr>
                <w:rFonts w:ascii="Arial" w:hAnsi="Arial" w:cs="Arial"/>
                <w:b/>
                <w:sz w:val="16"/>
                <w:szCs w:val="16"/>
              </w:rPr>
              <w:t>Sept</w:t>
            </w:r>
          </w:p>
        </w:tc>
      </w:tr>
      <w:tr w:rsidR="00BA3720" w:rsidRPr="002829D6" w:rsidTr="00664C80">
        <w:tc>
          <w:tcPr>
            <w:tcW w:w="2158" w:type="dxa"/>
            <w:gridSpan w:val="2"/>
            <w:shd w:val="clear" w:color="auto" w:fill="auto"/>
            <w:vAlign w:val="center"/>
          </w:tcPr>
          <w:p w:rsidR="00BA3720" w:rsidRPr="002829D6" w:rsidRDefault="00BA3720"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Academic</w:t>
            </w:r>
          </w:p>
        </w:tc>
        <w:tc>
          <w:tcPr>
            <w:tcW w:w="1950" w:type="dxa"/>
            <w:shd w:val="clear" w:color="auto" w:fill="auto"/>
            <w:vAlign w:val="center"/>
          </w:tcPr>
          <w:p w:rsidR="00BA3720" w:rsidRPr="002829D6" w:rsidRDefault="00BA3720"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BA3720" w:rsidRPr="002829D6" w:rsidRDefault="00BA3720"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BA3720" w:rsidRPr="002829D6" w:rsidRDefault="00664C80"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A3720" w:rsidRPr="002829D6" w:rsidRDefault="00664C80"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BA3720" w:rsidRPr="002829D6" w:rsidRDefault="00664C80"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BA3720" w:rsidRPr="002829D6" w:rsidTr="002D1DE4">
        <w:tc>
          <w:tcPr>
            <w:tcW w:w="2158" w:type="dxa"/>
            <w:gridSpan w:val="2"/>
            <w:shd w:val="clear" w:color="auto" w:fill="auto"/>
            <w:vAlign w:val="center"/>
          </w:tcPr>
          <w:p w:rsidR="00BA3720" w:rsidRPr="002829D6" w:rsidRDefault="00BA3720"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ACCS Anaesthetics</w:t>
            </w:r>
          </w:p>
        </w:tc>
        <w:tc>
          <w:tcPr>
            <w:tcW w:w="1950" w:type="dxa"/>
            <w:shd w:val="clear" w:color="auto" w:fill="auto"/>
            <w:vAlign w:val="center"/>
          </w:tcPr>
          <w:p w:rsidR="00BA3720" w:rsidRPr="002829D6" w:rsidRDefault="00BA3720"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CT2</w:t>
            </w:r>
          </w:p>
        </w:tc>
        <w:tc>
          <w:tcPr>
            <w:tcW w:w="1310" w:type="dxa"/>
            <w:shd w:val="clear" w:color="auto" w:fill="auto"/>
            <w:vAlign w:val="center"/>
          </w:tcPr>
          <w:p w:rsidR="00BA3720" w:rsidRPr="002829D6" w:rsidRDefault="00BA3720"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FFFFFF"/>
            <w:vAlign w:val="center"/>
          </w:tcPr>
          <w:p w:rsidR="00BA3720" w:rsidRPr="002829D6" w:rsidRDefault="006D4B22"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BA3720" w:rsidRPr="002829D6" w:rsidRDefault="006D4B22" w:rsidP="00971472">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BA3720" w:rsidRPr="002829D6" w:rsidRDefault="006D4B22"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2D1DE4">
        <w:tc>
          <w:tcPr>
            <w:tcW w:w="2158" w:type="dxa"/>
            <w:gridSpan w:val="2"/>
            <w:shd w:val="clear" w:color="auto" w:fill="auto"/>
            <w:vAlign w:val="center"/>
          </w:tcPr>
          <w:p w:rsidR="006D4B22" w:rsidRPr="002829D6"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ACCS EM</w:t>
            </w:r>
          </w:p>
        </w:tc>
        <w:tc>
          <w:tcPr>
            <w:tcW w:w="1950" w:type="dxa"/>
            <w:shd w:val="clear" w:color="auto" w:fill="auto"/>
            <w:vAlign w:val="center"/>
          </w:tcPr>
          <w:p w:rsidR="006D4B22" w:rsidRPr="002829D6"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CT1-3</w:t>
            </w:r>
          </w:p>
        </w:tc>
        <w:tc>
          <w:tcPr>
            <w:tcW w:w="1310" w:type="dxa"/>
            <w:shd w:val="clear" w:color="auto" w:fill="auto"/>
            <w:vAlign w:val="center"/>
          </w:tcPr>
          <w:p w:rsidR="006D4B22" w:rsidRPr="002829D6" w:rsidRDefault="006D4B22"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2D1DE4">
        <w:tc>
          <w:tcPr>
            <w:tcW w:w="2158" w:type="dxa"/>
            <w:gridSpan w:val="2"/>
            <w:shd w:val="clear" w:color="auto" w:fill="auto"/>
            <w:vAlign w:val="center"/>
          </w:tcPr>
          <w:p w:rsidR="006D4B22" w:rsidRPr="002829D6"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ACCS ICM</w:t>
            </w:r>
          </w:p>
        </w:tc>
        <w:tc>
          <w:tcPr>
            <w:tcW w:w="1950" w:type="dxa"/>
            <w:shd w:val="clear" w:color="auto" w:fill="auto"/>
            <w:vAlign w:val="center"/>
          </w:tcPr>
          <w:p w:rsidR="006D4B22" w:rsidRPr="002829D6"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2</w:t>
            </w:r>
          </w:p>
        </w:tc>
        <w:tc>
          <w:tcPr>
            <w:tcW w:w="1310" w:type="dxa"/>
            <w:shd w:val="clear" w:color="auto" w:fill="auto"/>
            <w:vAlign w:val="center"/>
          </w:tcPr>
          <w:p w:rsidR="006D4B22" w:rsidRPr="002829D6" w:rsidRDefault="006D4B22"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2D1DE4">
        <w:tc>
          <w:tcPr>
            <w:tcW w:w="2158" w:type="dxa"/>
            <w:gridSpan w:val="2"/>
            <w:shd w:val="clear" w:color="auto" w:fill="auto"/>
            <w:vAlign w:val="center"/>
          </w:tcPr>
          <w:p w:rsidR="006D4B22"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ACCS Medicine</w:t>
            </w:r>
          </w:p>
        </w:tc>
        <w:tc>
          <w:tcPr>
            <w:tcW w:w="1950" w:type="dxa"/>
            <w:shd w:val="clear" w:color="auto" w:fill="auto"/>
            <w:vAlign w:val="center"/>
          </w:tcPr>
          <w:p w:rsidR="006D4B22"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w:t>
            </w:r>
          </w:p>
        </w:tc>
        <w:tc>
          <w:tcPr>
            <w:tcW w:w="1310" w:type="dxa"/>
            <w:shd w:val="clear" w:color="auto" w:fill="auto"/>
            <w:vAlign w:val="center"/>
          </w:tcPr>
          <w:p w:rsidR="006D4B22" w:rsidRDefault="006D4B22"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2D1DE4">
        <w:tc>
          <w:tcPr>
            <w:tcW w:w="2158" w:type="dxa"/>
            <w:gridSpan w:val="2"/>
            <w:vMerge w:val="restart"/>
            <w:shd w:val="clear" w:color="auto" w:fill="auto"/>
            <w:vAlign w:val="center"/>
          </w:tcPr>
          <w:p w:rsidR="006D4B22"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Acute Internal Medicine</w:t>
            </w:r>
          </w:p>
        </w:tc>
        <w:tc>
          <w:tcPr>
            <w:tcW w:w="1950" w:type="dxa"/>
            <w:shd w:val="clear" w:color="auto" w:fill="auto"/>
            <w:vAlign w:val="center"/>
          </w:tcPr>
          <w:p w:rsidR="006D4B22"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6D4B22" w:rsidRDefault="006D4B22"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EF4BD1">
        <w:tc>
          <w:tcPr>
            <w:tcW w:w="2158" w:type="dxa"/>
            <w:gridSpan w:val="2"/>
            <w:vMerge/>
            <w:shd w:val="clear" w:color="auto" w:fill="auto"/>
            <w:vAlign w:val="center"/>
          </w:tcPr>
          <w:p w:rsidR="006D4B22" w:rsidRDefault="006D4B22"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6D4B22" w:rsidRDefault="006D4B22"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6D4B22" w:rsidRDefault="002F40F8"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r w:rsidR="006D4B22">
              <w:rPr>
                <w:rFonts w:ascii="Arial" w:hAnsi="Arial" w:cs="Arial"/>
                <w:sz w:val="16"/>
                <w:szCs w:val="16"/>
              </w:rPr>
              <w:t>.0</w:t>
            </w:r>
          </w:p>
        </w:tc>
        <w:tc>
          <w:tcPr>
            <w:tcW w:w="914" w:type="dxa"/>
            <w:shd w:val="clear" w:color="auto" w:fill="E5B8B7"/>
            <w:vAlign w:val="center"/>
          </w:tcPr>
          <w:p w:rsidR="006D4B22" w:rsidRPr="002829D6" w:rsidRDefault="002F40F8"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FFFFFF" w:themeFill="background1"/>
            <w:vAlign w:val="center"/>
          </w:tcPr>
          <w:p w:rsidR="006D4B22" w:rsidRPr="002829D6" w:rsidRDefault="00EF4BD1"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6D4B22" w:rsidRPr="002829D6" w:rsidRDefault="00EF4BD1"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shd w:val="clear" w:color="auto" w:fill="auto"/>
            <w:vAlign w:val="center"/>
          </w:tcPr>
          <w:p w:rsidR="00C1543E" w:rsidRPr="002829D6"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Allergy</w:t>
            </w:r>
          </w:p>
        </w:tc>
        <w:tc>
          <w:tcPr>
            <w:tcW w:w="1950" w:type="dxa"/>
            <w:shd w:val="clear" w:color="auto" w:fill="auto"/>
            <w:vAlign w:val="center"/>
          </w:tcPr>
          <w:p w:rsidR="00C1543E" w:rsidRPr="002829D6"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9D69DF">
        <w:tc>
          <w:tcPr>
            <w:tcW w:w="2158" w:type="dxa"/>
            <w:gridSpan w:val="2"/>
            <w:shd w:val="clear" w:color="auto" w:fill="auto"/>
            <w:vAlign w:val="center"/>
          </w:tcPr>
          <w:p w:rsidR="00C1543E" w:rsidRPr="002829D6"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Anaesthetics</w:t>
            </w:r>
          </w:p>
        </w:tc>
        <w:tc>
          <w:tcPr>
            <w:tcW w:w="1950" w:type="dxa"/>
            <w:shd w:val="clear" w:color="auto" w:fill="auto"/>
            <w:vAlign w:val="center"/>
          </w:tcPr>
          <w:p w:rsidR="00C1543E" w:rsidRPr="002829D6"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23.0</w:t>
            </w:r>
          </w:p>
        </w:tc>
        <w:tc>
          <w:tcPr>
            <w:tcW w:w="914" w:type="dxa"/>
            <w:shd w:val="clear" w:color="auto" w:fill="E5B8B7" w:themeFill="accent2" w:themeFillTint="66"/>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val="restart"/>
            <w:shd w:val="clear" w:color="auto" w:fill="auto"/>
            <w:vAlign w:val="center"/>
          </w:tcPr>
          <w:p w:rsidR="00C1543E" w:rsidRPr="002829D6"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Cardiology</w:t>
            </w:r>
          </w:p>
        </w:tc>
        <w:tc>
          <w:tcPr>
            <w:tcW w:w="1950" w:type="dxa"/>
            <w:shd w:val="clear" w:color="auto" w:fill="auto"/>
            <w:vAlign w:val="center"/>
          </w:tcPr>
          <w:p w:rsidR="00C1543E" w:rsidRPr="002829D6"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shd w:val="clear" w:color="auto" w:fill="auto"/>
            <w:vAlign w:val="center"/>
          </w:tcPr>
          <w:p w:rsidR="00C1543E" w:rsidRPr="002829D6" w:rsidRDefault="00C1543E"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Pr="002829D6"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9D69DF">
        <w:tc>
          <w:tcPr>
            <w:tcW w:w="2158" w:type="dxa"/>
            <w:gridSpan w:val="2"/>
            <w:vMerge/>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6.0</w:t>
            </w:r>
          </w:p>
        </w:tc>
        <w:tc>
          <w:tcPr>
            <w:tcW w:w="914" w:type="dxa"/>
            <w:shd w:val="clear" w:color="auto" w:fill="E5B8B7" w:themeFill="accent2" w:themeFillTint="66"/>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Cardiothoracic Surgery</w:t>
            </w: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Chemical Pathology</w:t>
            </w: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9D69DF">
        <w:tc>
          <w:tcPr>
            <w:tcW w:w="2158" w:type="dxa"/>
            <w:gridSpan w:val="2"/>
            <w:vMerge w:val="restart"/>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Clinical Radiology</w:t>
            </w: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ST1</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E5B8B7" w:themeFill="accent2" w:themeFillTint="66"/>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C1543E" w:rsidRPr="002829D6" w:rsidTr="00C1543E">
        <w:tc>
          <w:tcPr>
            <w:tcW w:w="2158" w:type="dxa"/>
            <w:gridSpan w:val="2"/>
            <w:vMerge/>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Training</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9.0</w:t>
            </w:r>
          </w:p>
        </w:tc>
        <w:tc>
          <w:tcPr>
            <w:tcW w:w="914"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val="restart"/>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Core Anaesthetics Training</w:t>
            </w: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CT2</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val="restart"/>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Core Medical Training</w:t>
            </w: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9D69DF">
        <w:tc>
          <w:tcPr>
            <w:tcW w:w="2158" w:type="dxa"/>
            <w:gridSpan w:val="2"/>
            <w:vMerge/>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CT2</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16.0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E5B8B7" w:themeFill="accent2" w:themeFillTint="66"/>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w:t>
            </w:r>
          </w:p>
        </w:tc>
        <w:tc>
          <w:tcPr>
            <w:tcW w:w="915" w:type="dxa"/>
            <w:shd w:val="clear" w:color="auto" w:fill="E5B8B7" w:themeFill="accent2" w:themeFillTint="66"/>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w:t>
            </w:r>
          </w:p>
        </w:tc>
      </w:tr>
      <w:tr w:rsidR="00C1543E" w:rsidRPr="002829D6" w:rsidTr="009D69DF">
        <w:tc>
          <w:tcPr>
            <w:tcW w:w="2158" w:type="dxa"/>
            <w:gridSpan w:val="2"/>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Core Surgical Training</w:t>
            </w: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CT1</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13.0</w:t>
            </w:r>
          </w:p>
        </w:tc>
        <w:tc>
          <w:tcPr>
            <w:tcW w:w="914" w:type="dxa"/>
            <w:shd w:val="clear" w:color="auto" w:fill="E5B8B7" w:themeFill="accent2" w:themeFillTint="66"/>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Core Training</w:t>
            </w: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Core Training</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val="restart"/>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Emergency Medicine</w:t>
            </w: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Pr="002829D6"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7.0</w:t>
            </w:r>
          </w:p>
        </w:tc>
        <w:tc>
          <w:tcPr>
            <w:tcW w:w="914"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C1543E">
        <w:tc>
          <w:tcPr>
            <w:tcW w:w="2158" w:type="dxa"/>
            <w:gridSpan w:val="2"/>
            <w:vMerge/>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Default="00C1543E"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C1543E" w:rsidRDefault="00C1543E"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bl>
    <w:p w:rsidR="00BA3720" w:rsidRDefault="00BA3720" w:rsidP="00A605E6">
      <w:pPr>
        <w:pStyle w:val="ListParagraph"/>
        <w:ind w:left="360"/>
        <w:contextualSpacing/>
        <w:jc w:val="both"/>
        <w:rPr>
          <w:rFonts w:ascii="Arial" w:hAnsi="Arial" w:cs="Arial"/>
          <w:sz w:val="21"/>
          <w:szCs w:val="21"/>
        </w:rPr>
      </w:pPr>
    </w:p>
    <w:p w:rsidR="00F20A1E" w:rsidRDefault="00F20A1E" w:rsidP="00A605E6">
      <w:pPr>
        <w:pStyle w:val="ListParagraph"/>
        <w:ind w:left="360"/>
        <w:contextualSpacing/>
        <w:jc w:val="both"/>
        <w:rPr>
          <w:rFonts w:ascii="Arial" w:hAnsi="Arial" w:cs="Arial"/>
          <w:sz w:val="21"/>
          <w:szCs w:val="21"/>
        </w:rPr>
      </w:pPr>
    </w:p>
    <w:p w:rsidR="00F20A1E" w:rsidRDefault="00F20A1E" w:rsidP="00A605E6">
      <w:pPr>
        <w:pStyle w:val="ListParagraph"/>
        <w:ind w:left="36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59"/>
        <w:gridCol w:w="1950"/>
        <w:gridCol w:w="1310"/>
        <w:gridCol w:w="914"/>
        <w:gridCol w:w="915"/>
        <w:gridCol w:w="915"/>
      </w:tblGrid>
      <w:tr w:rsidR="00F20A1E" w:rsidRPr="002829D6" w:rsidTr="00F20A1E">
        <w:tc>
          <w:tcPr>
            <w:tcW w:w="599" w:type="dxa"/>
            <w:tcBorders>
              <w:right w:val="nil"/>
            </w:tcBorders>
            <w:shd w:val="clear" w:color="auto" w:fill="BFBFBF"/>
          </w:tcPr>
          <w:p w:rsidR="00F20A1E" w:rsidRPr="002829D6" w:rsidRDefault="00F20A1E" w:rsidP="00F20A1E">
            <w:pPr>
              <w:pStyle w:val="ListParagraph"/>
              <w:spacing w:before="60" w:after="60" w:line="240" w:lineRule="auto"/>
              <w:ind w:left="0"/>
              <w:contextualSpacing/>
              <w:jc w:val="both"/>
              <w:rPr>
                <w:rFonts w:ascii="Arial" w:hAnsi="Arial" w:cs="Arial"/>
                <w:b/>
                <w:sz w:val="21"/>
                <w:szCs w:val="21"/>
              </w:rPr>
            </w:pPr>
          </w:p>
        </w:tc>
        <w:tc>
          <w:tcPr>
            <w:tcW w:w="7563" w:type="dxa"/>
            <w:gridSpan w:val="6"/>
            <w:tcBorders>
              <w:left w:val="nil"/>
            </w:tcBorders>
            <w:shd w:val="clear" w:color="auto" w:fill="BFBFBF"/>
            <w:vAlign w:val="center"/>
          </w:tcPr>
          <w:p w:rsidR="00F20A1E" w:rsidRPr="002829D6" w:rsidRDefault="00F20A1E" w:rsidP="006D4B22">
            <w:pPr>
              <w:pStyle w:val="ListParagraph"/>
              <w:spacing w:before="60" w:after="60" w:line="240" w:lineRule="auto"/>
              <w:ind w:left="0"/>
              <w:contextualSpacing/>
              <w:jc w:val="right"/>
              <w:rPr>
                <w:rFonts w:ascii="Arial" w:hAnsi="Arial" w:cs="Arial"/>
                <w:b/>
                <w:i/>
                <w:sz w:val="21"/>
                <w:szCs w:val="21"/>
              </w:rPr>
            </w:pPr>
            <w:r w:rsidRPr="002829D6">
              <w:rPr>
                <w:rFonts w:ascii="Arial" w:hAnsi="Arial" w:cs="Arial"/>
                <w:b/>
                <w:sz w:val="21"/>
                <w:szCs w:val="21"/>
              </w:rPr>
              <w:t xml:space="preserve">                                      </w:t>
            </w:r>
          </w:p>
        </w:tc>
      </w:tr>
      <w:tr w:rsidR="00F20A1E" w:rsidRPr="002829D6" w:rsidTr="00F20A1E">
        <w:tc>
          <w:tcPr>
            <w:tcW w:w="2158" w:type="dxa"/>
            <w:gridSpan w:val="2"/>
            <w:vMerge w:val="restart"/>
            <w:shd w:val="clear" w:color="auto" w:fill="auto"/>
            <w:vAlign w:val="center"/>
          </w:tcPr>
          <w:p w:rsidR="00F20A1E" w:rsidRPr="002829D6" w:rsidRDefault="00F20A1E" w:rsidP="00F20A1E">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950" w:type="dxa"/>
            <w:vMerge w:val="restart"/>
            <w:shd w:val="clear" w:color="auto" w:fill="auto"/>
            <w:vAlign w:val="center"/>
          </w:tcPr>
          <w:p w:rsidR="00F20A1E" w:rsidRPr="002829D6" w:rsidRDefault="00F20A1E" w:rsidP="00F20A1E">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Grade</w:t>
            </w:r>
          </w:p>
        </w:tc>
        <w:tc>
          <w:tcPr>
            <w:tcW w:w="1310" w:type="dxa"/>
            <w:vMerge w:val="restart"/>
            <w:shd w:val="clear" w:color="auto" w:fill="auto"/>
            <w:vAlign w:val="center"/>
          </w:tcPr>
          <w:p w:rsidR="00F20A1E" w:rsidRPr="002829D6" w:rsidRDefault="00F20A1E" w:rsidP="00F20A1E">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Establishment</w:t>
            </w:r>
          </w:p>
        </w:tc>
        <w:tc>
          <w:tcPr>
            <w:tcW w:w="2744" w:type="dxa"/>
            <w:gridSpan w:val="3"/>
            <w:shd w:val="clear" w:color="auto" w:fill="auto"/>
            <w:vAlign w:val="center"/>
          </w:tcPr>
          <w:p w:rsidR="00F20A1E" w:rsidRPr="002829D6" w:rsidRDefault="006D4B22"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Vacancies</w:t>
            </w:r>
          </w:p>
        </w:tc>
      </w:tr>
      <w:tr w:rsidR="00F20A1E" w:rsidRPr="002829D6" w:rsidTr="00F20A1E">
        <w:tc>
          <w:tcPr>
            <w:tcW w:w="2158" w:type="dxa"/>
            <w:gridSpan w:val="2"/>
            <w:vMerge/>
            <w:shd w:val="clear" w:color="auto" w:fill="auto"/>
            <w:vAlign w:val="center"/>
          </w:tcPr>
          <w:p w:rsidR="00F20A1E" w:rsidRPr="002829D6" w:rsidRDefault="00F20A1E" w:rsidP="00F20A1E">
            <w:pPr>
              <w:pStyle w:val="ListParagraph"/>
              <w:spacing w:before="60" w:after="60" w:line="240" w:lineRule="auto"/>
              <w:ind w:left="0"/>
              <w:contextualSpacing/>
              <w:rPr>
                <w:rFonts w:ascii="Arial" w:hAnsi="Arial" w:cs="Arial"/>
                <w:sz w:val="16"/>
                <w:szCs w:val="16"/>
              </w:rPr>
            </w:pPr>
          </w:p>
        </w:tc>
        <w:tc>
          <w:tcPr>
            <w:tcW w:w="1950" w:type="dxa"/>
            <w:vMerge/>
            <w:shd w:val="clear" w:color="auto" w:fill="auto"/>
            <w:vAlign w:val="center"/>
          </w:tcPr>
          <w:p w:rsidR="00F20A1E" w:rsidRPr="002829D6" w:rsidRDefault="00F20A1E" w:rsidP="00F20A1E">
            <w:pPr>
              <w:pStyle w:val="ListParagraph"/>
              <w:spacing w:before="60" w:after="60" w:line="240" w:lineRule="auto"/>
              <w:ind w:left="0"/>
              <w:contextualSpacing/>
              <w:jc w:val="center"/>
              <w:rPr>
                <w:rFonts w:ascii="Arial" w:hAnsi="Arial" w:cs="Arial"/>
                <w:sz w:val="16"/>
                <w:szCs w:val="16"/>
              </w:rPr>
            </w:pPr>
          </w:p>
        </w:tc>
        <w:tc>
          <w:tcPr>
            <w:tcW w:w="1310" w:type="dxa"/>
            <w:vMerge/>
            <w:shd w:val="clear" w:color="auto" w:fill="auto"/>
            <w:vAlign w:val="center"/>
          </w:tcPr>
          <w:p w:rsidR="00F20A1E" w:rsidRPr="002829D6" w:rsidRDefault="00F20A1E" w:rsidP="00F20A1E">
            <w:pPr>
              <w:pStyle w:val="ListParagraph"/>
              <w:spacing w:before="60" w:after="60" w:line="240" w:lineRule="auto"/>
              <w:ind w:left="0"/>
              <w:contextualSpacing/>
              <w:jc w:val="center"/>
              <w:rPr>
                <w:rFonts w:ascii="Arial" w:hAnsi="Arial" w:cs="Arial"/>
                <w:sz w:val="16"/>
                <w:szCs w:val="16"/>
              </w:rPr>
            </w:pPr>
          </w:p>
        </w:tc>
        <w:tc>
          <w:tcPr>
            <w:tcW w:w="914" w:type="dxa"/>
            <w:shd w:val="clear" w:color="auto" w:fill="auto"/>
            <w:vAlign w:val="center"/>
          </w:tcPr>
          <w:p w:rsidR="00F20A1E"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July</w:t>
            </w:r>
          </w:p>
        </w:tc>
        <w:tc>
          <w:tcPr>
            <w:tcW w:w="915" w:type="dxa"/>
            <w:shd w:val="clear" w:color="auto" w:fill="auto"/>
            <w:vAlign w:val="center"/>
          </w:tcPr>
          <w:p w:rsidR="00F20A1E"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Aug</w:t>
            </w:r>
          </w:p>
        </w:tc>
        <w:tc>
          <w:tcPr>
            <w:tcW w:w="915" w:type="dxa"/>
            <w:shd w:val="clear" w:color="auto" w:fill="auto"/>
            <w:vAlign w:val="center"/>
          </w:tcPr>
          <w:p w:rsidR="00F20A1E" w:rsidRPr="002829D6" w:rsidRDefault="005C2C33" w:rsidP="00F20A1E">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Sept</w:t>
            </w:r>
          </w:p>
        </w:tc>
      </w:tr>
      <w:tr w:rsidR="00123E23" w:rsidRPr="002829D6" w:rsidTr="002D1DE4">
        <w:tc>
          <w:tcPr>
            <w:tcW w:w="2158" w:type="dxa"/>
            <w:gridSpan w:val="2"/>
            <w:vMerge w:val="restart"/>
            <w:shd w:val="clear" w:color="auto" w:fill="auto"/>
            <w:vAlign w:val="center"/>
          </w:tcPr>
          <w:p w:rsidR="00123E23" w:rsidRPr="002829D6" w:rsidRDefault="00123E23"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Endocrinology and Diabetes Mellitus</w:t>
            </w:r>
          </w:p>
        </w:tc>
        <w:tc>
          <w:tcPr>
            <w:tcW w:w="1950" w:type="dxa"/>
            <w:shd w:val="clear" w:color="auto" w:fill="auto"/>
            <w:vAlign w:val="center"/>
          </w:tcPr>
          <w:p w:rsidR="00123E23" w:rsidRPr="002829D6" w:rsidRDefault="00123E23"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123E23" w:rsidRPr="002829D6" w:rsidRDefault="00123E23"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216F3D">
        <w:tc>
          <w:tcPr>
            <w:tcW w:w="2158" w:type="dxa"/>
            <w:gridSpan w:val="2"/>
            <w:vMerge/>
            <w:shd w:val="clear" w:color="auto" w:fill="auto"/>
            <w:vAlign w:val="center"/>
          </w:tcPr>
          <w:p w:rsidR="00123E23" w:rsidRPr="002829D6" w:rsidRDefault="00123E23"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Pr="002829D6" w:rsidRDefault="00123E23"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Pr="002829D6" w:rsidRDefault="00123E23"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FFFFFF"/>
            <w:vAlign w:val="center"/>
          </w:tcPr>
          <w:p w:rsidR="00123E23" w:rsidRPr="002829D6" w:rsidRDefault="00123E23"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C1543E" w:rsidRPr="002829D6" w:rsidTr="002D1DE4">
        <w:tc>
          <w:tcPr>
            <w:tcW w:w="2158" w:type="dxa"/>
            <w:gridSpan w:val="2"/>
            <w:vMerge w:val="restart"/>
            <w:shd w:val="clear" w:color="auto" w:fill="auto"/>
            <w:vAlign w:val="center"/>
          </w:tcPr>
          <w:p w:rsidR="00C1543E" w:rsidRPr="002829D6" w:rsidRDefault="00C1543E"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Gastroenterology</w:t>
            </w:r>
          </w:p>
          <w:p w:rsidR="00C1543E" w:rsidRPr="002829D6" w:rsidRDefault="00C1543E"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C1543E" w:rsidRPr="002829D6" w:rsidRDefault="00C1543E"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C1543E" w:rsidRPr="002829D6" w:rsidRDefault="00C1543E"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w:t>
            </w:r>
          </w:p>
        </w:tc>
        <w:tc>
          <w:tcPr>
            <w:tcW w:w="914" w:type="dxa"/>
            <w:shd w:val="clear" w:color="auto" w:fill="FFFFFF"/>
            <w:vAlign w:val="center"/>
          </w:tcPr>
          <w:p w:rsidR="00C1543E" w:rsidRPr="002829D6" w:rsidRDefault="00C1543E"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C1543E" w:rsidRPr="002829D6" w:rsidRDefault="00C1543E"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C1543E" w:rsidRPr="002829D6" w:rsidRDefault="00C1543E"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216F3D">
        <w:trPr>
          <w:trHeight w:val="498"/>
        </w:trPr>
        <w:tc>
          <w:tcPr>
            <w:tcW w:w="2158" w:type="dxa"/>
            <w:gridSpan w:val="2"/>
            <w:vMerge/>
            <w:shd w:val="clear" w:color="auto" w:fill="auto"/>
            <w:vAlign w:val="center"/>
          </w:tcPr>
          <w:p w:rsidR="00123E23" w:rsidRPr="002829D6" w:rsidRDefault="00123E23"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Pr="002829D6" w:rsidRDefault="00123E23"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Pr="002829D6" w:rsidRDefault="00123E23"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216F3D">
        <w:tc>
          <w:tcPr>
            <w:tcW w:w="2158" w:type="dxa"/>
            <w:gridSpan w:val="2"/>
            <w:shd w:val="clear" w:color="auto" w:fill="auto"/>
            <w:vAlign w:val="center"/>
          </w:tcPr>
          <w:p w:rsidR="00123E23" w:rsidRDefault="00123E23"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Medicine</w:t>
            </w:r>
          </w:p>
        </w:tc>
        <w:tc>
          <w:tcPr>
            <w:tcW w:w="1950" w:type="dxa"/>
            <w:shd w:val="clear" w:color="auto" w:fill="auto"/>
            <w:vAlign w:val="center"/>
          </w:tcPr>
          <w:p w:rsidR="00123E23" w:rsidRDefault="00123E23"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123E23" w:rsidRDefault="00123E23" w:rsidP="00F20A1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FF3FEE">
            <w:pPr>
              <w:pStyle w:val="ListParagraph"/>
              <w:spacing w:before="60" w:after="60" w:line="240" w:lineRule="auto"/>
              <w:ind w:left="0"/>
              <w:contextualSpacing/>
              <w:jc w:val="center"/>
              <w:rPr>
                <w:rFonts w:ascii="Arial" w:hAnsi="Arial" w:cs="Arial"/>
                <w:sz w:val="16"/>
                <w:szCs w:val="16"/>
              </w:rPr>
            </w:pPr>
          </w:p>
        </w:tc>
      </w:tr>
      <w:tr w:rsidR="00123E23" w:rsidRPr="002829D6" w:rsidTr="002D1DE4">
        <w:tc>
          <w:tcPr>
            <w:tcW w:w="2158" w:type="dxa"/>
            <w:gridSpan w:val="2"/>
            <w:shd w:val="clear" w:color="auto" w:fill="auto"/>
            <w:vAlign w:val="center"/>
          </w:tcPr>
          <w:p w:rsidR="00123E23" w:rsidRDefault="00123E23" w:rsidP="00F20A1E">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Practice</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 GP</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12.0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2D1DE4">
        <w:tc>
          <w:tcPr>
            <w:tcW w:w="2158" w:type="dxa"/>
            <w:gridSpan w:val="2"/>
            <w:vMerge w:val="restart"/>
            <w:shd w:val="clear" w:color="auto" w:fill="auto"/>
            <w:vAlign w:val="center"/>
          </w:tcPr>
          <w:p w:rsidR="00123E23" w:rsidRPr="002829D6"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Psychiatry</w:t>
            </w:r>
          </w:p>
        </w:tc>
        <w:tc>
          <w:tcPr>
            <w:tcW w:w="1950" w:type="dxa"/>
            <w:shd w:val="clear" w:color="auto" w:fill="auto"/>
            <w:vAlign w:val="center"/>
          </w:tcPr>
          <w:p w:rsidR="00123E23" w:rsidRPr="002829D6"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2D1DE4">
        <w:tc>
          <w:tcPr>
            <w:tcW w:w="2158" w:type="dxa"/>
            <w:gridSpan w:val="2"/>
            <w:vMerge/>
            <w:shd w:val="clear" w:color="auto" w:fill="auto"/>
            <w:vAlign w:val="center"/>
          </w:tcPr>
          <w:p w:rsidR="00123E23" w:rsidRPr="002829D6"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Pr="002829D6"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123E23">
        <w:tc>
          <w:tcPr>
            <w:tcW w:w="2158" w:type="dxa"/>
            <w:gridSpan w:val="2"/>
            <w:vMerge w:val="restart"/>
            <w:shd w:val="clear" w:color="auto" w:fill="auto"/>
            <w:vAlign w:val="center"/>
          </w:tcPr>
          <w:p w:rsidR="00123E23" w:rsidRPr="002829D6"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General Surgery</w:t>
            </w:r>
          </w:p>
        </w:tc>
        <w:tc>
          <w:tcPr>
            <w:tcW w:w="1950" w:type="dxa"/>
            <w:shd w:val="clear" w:color="auto" w:fill="auto"/>
            <w:vAlign w:val="center"/>
          </w:tcPr>
          <w:p w:rsidR="00123E23" w:rsidRPr="002829D6"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123E23">
        <w:tc>
          <w:tcPr>
            <w:tcW w:w="2158" w:type="dxa"/>
            <w:gridSpan w:val="2"/>
            <w:vMerge/>
            <w:shd w:val="clear" w:color="auto" w:fill="auto"/>
            <w:vAlign w:val="center"/>
          </w:tcPr>
          <w:p w:rsidR="00123E23" w:rsidRPr="002829D6"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Pr="002829D6"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7.0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themeFill="background1"/>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shd w:val="clear" w:color="auto" w:fill="auto"/>
            <w:vAlign w:val="center"/>
          </w:tcPr>
          <w:p w:rsidR="00123E23" w:rsidRDefault="00123E23" w:rsidP="00F20A1E">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F20A1E">
            <w:pPr>
              <w:pStyle w:val="ListParagraph"/>
              <w:spacing w:before="60" w:after="60" w:line="240" w:lineRule="auto"/>
              <w:ind w:left="0"/>
              <w:contextualSpacing/>
              <w:rPr>
                <w:rFonts w:ascii="Arial" w:hAnsi="Arial" w:cs="Arial"/>
                <w:sz w:val="16"/>
                <w:szCs w:val="16"/>
              </w:rPr>
            </w:pPr>
          </w:p>
        </w:tc>
        <w:tc>
          <w:tcPr>
            <w:tcW w:w="1310" w:type="dxa"/>
            <w:shd w:val="clear" w:color="auto" w:fill="auto"/>
            <w:vAlign w:val="center"/>
          </w:tcPr>
          <w:p w:rsidR="00123E23" w:rsidRDefault="00123E23" w:rsidP="00F20A1E">
            <w:pPr>
              <w:pStyle w:val="ListParagraph"/>
              <w:spacing w:before="60" w:after="60" w:line="240" w:lineRule="auto"/>
              <w:ind w:left="0"/>
              <w:contextualSpacing/>
              <w:jc w:val="center"/>
              <w:rPr>
                <w:rFonts w:ascii="Arial" w:hAnsi="Arial" w:cs="Arial"/>
                <w:sz w:val="16"/>
                <w:szCs w:val="16"/>
              </w:rPr>
            </w:pPr>
          </w:p>
        </w:tc>
        <w:tc>
          <w:tcPr>
            <w:tcW w:w="914" w:type="dxa"/>
            <w:shd w:val="clear" w:color="auto" w:fill="FFFFFF"/>
            <w:vAlign w:val="center"/>
          </w:tcPr>
          <w:p w:rsidR="00123E23" w:rsidRDefault="00123E23" w:rsidP="00F20A1E">
            <w:pPr>
              <w:pStyle w:val="ListParagraph"/>
              <w:spacing w:before="60" w:after="60" w:line="240" w:lineRule="auto"/>
              <w:ind w:left="0"/>
              <w:contextualSpacing/>
              <w:jc w:val="center"/>
              <w:rPr>
                <w:rFonts w:ascii="Arial" w:hAnsi="Arial" w:cs="Arial"/>
                <w:sz w:val="16"/>
                <w:szCs w:val="16"/>
              </w:rPr>
            </w:pPr>
          </w:p>
        </w:tc>
        <w:tc>
          <w:tcPr>
            <w:tcW w:w="915" w:type="dxa"/>
            <w:shd w:val="clear" w:color="auto" w:fill="FFFFFF"/>
            <w:vAlign w:val="center"/>
          </w:tcPr>
          <w:p w:rsidR="00123E23" w:rsidRDefault="00123E23" w:rsidP="00F20A1E">
            <w:pPr>
              <w:pStyle w:val="ListParagraph"/>
              <w:spacing w:before="60" w:after="60" w:line="240" w:lineRule="auto"/>
              <w:ind w:left="0"/>
              <w:contextualSpacing/>
              <w:jc w:val="center"/>
              <w:rPr>
                <w:rFonts w:ascii="Arial" w:hAnsi="Arial" w:cs="Arial"/>
                <w:sz w:val="16"/>
                <w:szCs w:val="16"/>
              </w:rPr>
            </w:pPr>
          </w:p>
        </w:tc>
        <w:tc>
          <w:tcPr>
            <w:tcW w:w="915" w:type="dxa"/>
            <w:shd w:val="clear" w:color="auto" w:fill="FFFFFF"/>
            <w:vAlign w:val="center"/>
          </w:tcPr>
          <w:p w:rsidR="00123E23" w:rsidRDefault="00123E23" w:rsidP="00F20A1E">
            <w:pPr>
              <w:pStyle w:val="ListParagraph"/>
              <w:spacing w:before="60" w:after="60" w:line="240" w:lineRule="auto"/>
              <w:ind w:left="0"/>
              <w:contextualSpacing/>
              <w:jc w:val="center"/>
              <w:rPr>
                <w:rFonts w:ascii="Arial" w:hAnsi="Arial" w:cs="Arial"/>
                <w:sz w:val="16"/>
                <w:szCs w:val="16"/>
              </w:rPr>
            </w:pPr>
          </w:p>
        </w:tc>
      </w:tr>
      <w:tr w:rsidR="00123E23" w:rsidRPr="002829D6" w:rsidTr="00094EC0">
        <w:tc>
          <w:tcPr>
            <w:tcW w:w="2158" w:type="dxa"/>
            <w:gridSpan w:val="2"/>
            <w:vMerge w:val="restart"/>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Genitourinary Medicine</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val="restart"/>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Geriatric Medicine</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6.0</w:t>
            </w:r>
          </w:p>
        </w:tc>
        <w:tc>
          <w:tcPr>
            <w:tcW w:w="914"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6.0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9D69DF">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Histopathology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w:t>
            </w:r>
          </w:p>
        </w:tc>
        <w:tc>
          <w:tcPr>
            <w:tcW w:w="915"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123E23" w:rsidRPr="002829D6" w:rsidTr="00094EC0">
        <w:tc>
          <w:tcPr>
            <w:tcW w:w="2158" w:type="dxa"/>
            <w:gridSpan w:val="2"/>
            <w:vMerge w:val="restart"/>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Intensive Care Medicine</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9D69DF">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10.0</w:t>
            </w:r>
          </w:p>
        </w:tc>
        <w:tc>
          <w:tcPr>
            <w:tcW w:w="914"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Liaison Psychiatry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Medical Microbiology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val="restart"/>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Obstetrics and Gynaecology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Old Age Psychiatry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Oral and Maxillofacial Surgery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Orthodontics</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Dental 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Otolaryngology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val="restart"/>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Paediatrics</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9D69DF">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ST1-2</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r>
      <w:tr w:rsidR="00123E23" w:rsidRPr="002829D6" w:rsidTr="00094EC0">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1/2: GP</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5.0</w:t>
            </w:r>
          </w:p>
        </w:tc>
        <w:tc>
          <w:tcPr>
            <w:tcW w:w="914"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vMerge/>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Specialty Training Level 3: ST3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8.0</w:t>
            </w:r>
          </w:p>
        </w:tc>
        <w:tc>
          <w:tcPr>
            <w:tcW w:w="914"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094EC0">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Pathology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FFFFFF"/>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123E23" w:rsidRPr="002829D6" w:rsidTr="009D69DF">
        <w:tc>
          <w:tcPr>
            <w:tcW w:w="2158" w:type="dxa"/>
            <w:gridSpan w:val="2"/>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Plastic Surgery</w:t>
            </w:r>
          </w:p>
        </w:tc>
        <w:tc>
          <w:tcPr>
            <w:tcW w:w="1950" w:type="dxa"/>
            <w:shd w:val="clear" w:color="auto" w:fill="auto"/>
            <w:vAlign w:val="center"/>
          </w:tcPr>
          <w:p w:rsidR="00123E23" w:rsidRDefault="00123E23" w:rsidP="00216F3D">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123E23"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13.0</w:t>
            </w:r>
          </w:p>
        </w:tc>
        <w:tc>
          <w:tcPr>
            <w:tcW w:w="914"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w:t>
            </w:r>
          </w:p>
        </w:tc>
        <w:tc>
          <w:tcPr>
            <w:tcW w:w="915"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c>
          <w:tcPr>
            <w:tcW w:w="915" w:type="dxa"/>
            <w:shd w:val="clear" w:color="auto" w:fill="E5B8B7" w:themeFill="accent2" w:themeFillTint="66"/>
            <w:vAlign w:val="center"/>
          </w:tcPr>
          <w:p w:rsidR="00123E23" w:rsidRPr="002829D6" w:rsidRDefault="00123E23" w:rsidP="00216F3D">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w:t>
            </w:r>
          </w:p>
        </w:tc>
      </w:tr>
    </w:tbl>
    <w:p w:rsidR="00286B73" w:rsidRDefault="00286B73" w:rsidP="00A605E6">
      <w:pPr>
        <w:pStyle w:val="ListParagraph"/>
        <w:ind w:left="360"/>
        <w:contextualSpacing/>
        <w:jc w:val="both"/>
        <w:rPr>
          <w:rFonts w:ascii="Arial" w:hAnsi="Arial" w:cs="Arial"/>
          <w:sz w:val="21"/>
          <w:szCs w:val="21"/>
        </w:rPr>
      </w:pPr>
    </w:p>
    <w:p w:rsidR="00147339" w:rsidRPr="00123E23" w:rsidRDefault="00286B73" w:rsidP="00123E23">
      <w:pPr>
        <w:contextualSpacing/>
        <w:jc w:val="both"/>
        <w:rPr>
          <w:rFonts w:ascii="Arial" w:hAnsi="Arial" w:cs="Arial"/>
          <w:sz w:val="21"/>
          <w:szCs w:val="21"/>
        </w:rPr>
      </w:pPr>
      <w:r w:rsidRPr="00123E23">
        <w:rPr>
          <w:rFonts w:ascii="Arial" w:hAnsi="Arial" w:cs="Arial"/>
          <w:sz w:val="21"/>
          <w:szCs w:val="21"/>
        </w:rPr>
        <w:br w:type="page"/>
      </w:r>
    </w:p>
    <w:p w:rsidR="00147339" w:rsidRDefault="00147339" w:rsidP="00A605E6">
      <w:pPr>
        <w:pStyle w:val="ListParagraph"/>
        <w:ind w:left="360"/>
        <w:contextualSpacing/>
        <w:jc w:val="both"/>
        <w:rPr>
          <w:rFonts w:ascii="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59"/>
        <w:gridCol w:w="1950"/>
        <w:gridCol w:w="1310"/>
        <w:gridCol w:w="914"/>
        <w:gridCol w:w="915"/>
        <w:gridCol w:w="915"/>
      </w:tblGrid>
      <w:tr w:rsidR="00147339" w:rsidRPr="002829D6" w:rsidTr="008736D5">
        <w:tc>
          <w:tcPr>
            <w:tcW w:w="599" w:type="dxa"/>
            <w:tcBorders>
              <w:right w:val="nil"/>
            </w:tcBorders>
            <w:shd w:val="clear" w:color="auto" w:fill="BFBFBF"/>
          </w:tcPr>
          <w:p w:rsidR="00147339" w:rsidRPr="002829D6" w:rsidRDefault="00147339" w:rsidP="008736D5">
            <w:pPr>
              <w:pStyle w:val="ListParagraph"/>
              <w:spacing w:before="60" w:after="60" w:line="240" w:lineRule="auto"/>
              <w:ind w:left="0"/>
              <w:contextualSpacing/>
              <w:jc w:val="both"/>
              <w:rPr>
                <w:rFonts w:ascii="Arial" w:hAnsi="Arial" w:cs="Arial"/>
                <w:b/>
                <w:sz w:val="21"/>
                <w:szCs w:val="21"/>
              </w:rPr>
            </w:pPr>
          </w:p>
        </w:tc>
        <w:tc>
          <w:tcPr>
            <w:tcW w:w="7563" w:type="dxa"/>
            <w:gridSpan w:val="6"/>
            <w:tcBorders>
              <w:left w:val="nil"/>
            </w:tcBorders>
            <w:shd w:val="clear" w:color="auto" w:fill="BFBFBF"/>
            <w:vAlign w:val="center"/>
          </w:tcPr>
          <w:p w:rsidR="00147339" w:rsidRPr="002829D6" w:rsidRDefault="00147339" w:rsidP="00147339">
            <w:pPr>
              <w:pStyle w:val="ListParagraph"/>
              <w:spacing w:before="60" w:after="60" w:line="240" w:lineRule="auto"/>
              <w:ind w:left="0"/>
              <w:contextualSpacing/>
              <w:jc w:val="right"/>
              <w:rPr>
                <w:rFonts w:ascii="Arial" w:hAnsi="Arial" w:cs="Arial"/>
                <w:b/>
                <w:i/>
                <w:sz w:val="21"/>
                <w:szCs w:val="21"/>
              </w:rPr>
            </w:pPr>
          </w:p>
        </w:tc>
      </w:tr>
      <w:tr w:rsidR="00147339" w:rsidRPr="002829D6" w:rsidTr="008736D5">
        <w:tc>
          <w:tcPr>
            <w:tcW w:w="2158" w:type="dxa"/>
            <w:gridSpan w:val="2"/>
            <w:vMerge w:val="restart"/>
            <w:shd w:val="clear" w:color="auto" w:fill="auto"/>
            <w:vAlign w:val="center"/>
          </w:tcPr>
          <w:p w:rsidR="00147339" w:rsidRPr="002829D6" w:rsidRDefault="00147339" w:rsidP="008736D5">
            <w:pPr>
              <w:pStyle w:val="ListParagraph"/>
              <w:spacing w:before="60" w:after="60" w:line="240" w:lineRule="auto"/>
              <w:ind w:left="0"/>
              <w:contextualSpacing/>
              <w:rPr>
                <w:rFonts w:ascii="Arial" w:hAnsi="Arial" w:cs="Arial"/>
                <w:b/>
                <w:sz w:val="16"/>
                <w:szCs w:val="16"/>
              </w:rPr>
            </w:pPr>
            <w:r w:rsidRPr="002829D6">
              <w:rPr>
                <w:rFonts w:ascii="Arial" w:hAnsi="Arial" w:cs="Arial"/>
                <w:b/>
                <w:sz w:val="16"/>
                <w:szCs w:val="16"/>
              </w:rPr>
              <w:t>Specialty</w:t>
            </w:r>
          </w:p>
        </w:tc>
        <w:tc>
          <w:tcPr>
            <w:tcW w:w="1950" w:type="dxa"/>
            <w:vMerge w:val="restart"/>
            <w:shd w:val="clear" w:color="auto" w:fill="auto"/>
            <w:vAlign w:val="center"/>
          </w:tcPr>
          <w:p w:rsidR="00147339" w:rsidRPr="002829D6" w:rsidRDefault="00147339" w:rsidP="008736D5">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Grade</w:t>
            </w:r>
          </w:p>
        </w:tc>
        <w:tc>
          <w:tcPr>
            <w:tcW w:w="1310" w:type="dxa"/>
            <w:vMerge w:val="restart"/>
            <w:shd w:val="clear" w:color="auto" w:fill="auto"/>
            <w:vAlign w:val="center"/>
          </w:tcPr>
          <w:p w:rsidR="00147339" w:rsidRPr="002829D6" w:rsidRDefault="00147339" w:rsidP="008736D5">
            <w:pPr>
              <w:pStyle w:val="ListParagraph"/>
              <w:spacing w:before="60" w:after="60" w:line="240" w:lineRule="auto"/>
              <w:ind w:left="0"/>
              <w:contextualSpacing/>
              <w:jc w:val="center"/>
              <w:rPr>
                <w:rFonts w:ascii="Arial" w:hAnsi="Arial" w:cs="Arial"/>
                <w:b/>
                <w:sz w:val="16"/>
                <w:szCs w:val="16"/>
              </w:rPr>
            </w:pPr>
            <w:r w:rsidRPr="002829D6">
              <w:rPr>
                <w:rFonts w:ascii="Arial" w:hAnsi="Arial" w:cs="Arial"/>
                <w:b/>
                <w:sz w:val="16"/>
                <w:szCs w:val="16"/>
              </w:rPr>
              <w:t>Establishment</w:t>
            </w:r>
          </w:p>
        </w:tc>
        <w:tc>
          <w:tcPr>
            <w:tcW w:w="2744" w:type="dxa"/>
            <w:gridSpan w:val="3"/>
            <w:shd w:val="clear" w:color="auto" w:fill="auto"/>
            <w:vAlign w:val="center"/>
          </w:tcPr>
          <w:p w:rsidR="00147339" w:rsidRPr="002829D6" w:rsidRDefault="006D4B22" w:rsidP="008736D5">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Vacancies</w:t>
            </w:r>
          </w:p>
        </w:tc>
      </w:tr>
      <w:tr w:rsidR="00147339" w:rsidRPr="002829D6" w:rsidTr="008736D5">
        <w:tc>
          <w:tcPr>
            <w:tcW w:w="2158" w:type="dxa"/>
            <w:gridSpan w:val="2"/>
            <w:vMerge/>
            <w:shd w:val="clear" w:color="auto" w:fill="auto"/>
            <w:vAlign w:val="center"/>
          </w:tcPr>
          <w:p w:rsidR="00147339" w:rsidRPr="002829D6" w:rsidRDefault="00147339" w:rsidP="008736D5">
            <w:pPr>
              <w:pStyle w:val="ListParagraph"/>
              <w:spacing w:before="60" w:after="60" w:line="240" w:lineRule="auto"/>
              <w:ind w:left="0"/>
              <w:contextualSpacing/>
              <w:rPr>
                <w:rFonts w:ascii="Arial" w:hAnsi="Arial" w:cs="Arial"/>
                <w:sz w:val="16"/>
                <w:szCs w:val="16"/>
              </w:rPr>
            </w:pPr>
          </w:p>
        </w:tc>
        <w:tc>
          <w:tcPr>
            <w:tcW w:w="1950" w:type="dxa"/>
            <w:vMerge/>
            <w:shd w:val="clear" w:color="auto" w:fill="auto"/>
            <w:vAlign w:val="center"/>
          </w:tcPr>
          <w:p w:rsidR="00147339" w:rsidRPr="002829D6" w:rsidRDefault="00147339" w:rsidP="008736D5">
            <w:pPr>
              <w:pStyle w:val="ListParagraph"/>
              <w:spacing w:before="60" w:after="60" w:line="240" w:lineRule="auto"/>
              <w:ind w:left="0"/>
              <w:contextualSpacing/>
              <w:jc w:val="center"/>
              <w:rPr>
                <w:rFonts w:ascii="Arial" w:hAnsi="Arial" w:cs="Arial"/>
                <w:sz w:val="16"/>
                <w:szCs w:val="16"/>
              </w:rPr>
            </w:pPr>
          </w:p>
        </w:tc>
        <w:tc>
          <w:tcPr>
            <w:tcW w:w="1310" w:type="dxa"/>
            <w:vMerge/>
            <w:shd w:val="clear" w:color="auto" w:fill="auto"/>
            <w:vAlign w:val="center"/>
          </w:tcPr>
          <w:p w:rsidR="00147339" w:rsidRPr="002829D6" w:rsidRDefault="00147339" w:rsidP="008736D5">
            <w:pPr>
              <w:pStyle w:val="ListParagraph"/>
              <w:spacing w:before="60" w:after="60" w:line="240" w:lineRule="auto"/>
              <w:ind w:left="0"/>
              <w:contextualSpacing/>
              <w:jc w:val="center"/>
              <w:rPr>
                <w:rFonts w:ascii="Arial" w:hAnsi="Arial" w:cs="Arial"/>
                <w:sz w:val="16"/>
                <w:szCs w:val="16"/>
              </w:rPr>
            </w:pPr>
          </w:p>
        </w:tc>
        <w:tc>
          <w:tcPr>
            <w:tcW w:w="914" w:type="dxa"/>
            <w:shd w:val="clear" w:color="auto" w:fill="auto"/>
            <w:vAlign w:val="center"/>
          </w:tcPr>
          <w:p w:rsidR="00147339" w:rsidRPr="002829D6" w:rsidRDefault="005C2C33" w:rsidP="008736D5">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July</w:t>
            </w:r>
          </w:p>
        </w:tc>
        <w:tc>
          <w:tcPr>
            <w:tcW w:w="915" w:type="dxa"/>
            <w:shd w:val="clear" w:color="auto" w:fill="auto"/>
            <w:vAlign w:val="center"/>
          </w:tcPr>
          <w:p w:rsidR="00147339" w:rsidRPr="002829D6" w:rsidRDefault="005C2C33" w:rsidP="008736D5">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Aug</w:t>
            </w:r>
          </w:p>
        </w:tc>
        <w:tc>
          <w:tcPr>
            <w:tcW w:w="915" w:type="dxa"/>
            <w:shd w:val="clear" w:color="auto" w:fill="auto"/>
            <w:vAlign w:val="center"/>
          </w:tcPr>
          <w:p w:rsidR="00147339" w:rsidRPr="002829D6" w:rsidRDefault="005C2C33" w:rsidP="008736D5">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Sept</w:t>
            </w:r>
          </w:p>
        </w:tc>
      </w:tr>
      <w:tr w:rsidR="006D4B22" w:rsidRPr="002829D6" w:rsidTr="008736D5">
        <w:tc>
          <w:tcPr>
            <w:tcW w:w="2158" w:type="dxa"/>
            <w:gridSpan w:val="2"/>
            <w:shd w:val="clear" w:color="auto" w:fill="auto"/>
            <w:vAlign w:val="center"/>
          </w:tcPr>
          <w:p w:rsidR="006D4B22" w:rsidRPr="002829D6"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Plastic Surgery (Hand Surgery)</w:t>
            </w:r>
          </w:p>
        </w:tc>
        <w:tc>
          <w:tcPr>
            <w:tcW w:w="1950" w:type="dxa"/>
            <w:shd w:val="clear" w:color="auto" w:fill="auto"/>
            <w:vAlign w:val="center"/>
          </w:tcPr>
          <w:p w:rsidR="006D4B22" w:rsidRPr="002829D6"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6D4B22" w:rsidRPr="002829D6"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147339">
        <w:tc>
          <w:tcPr>
            <w:tcW w:w="2158" w:type="dxa"/>
            <w:gridSpan w:val="2"/>
            <w:shd w:val="clear" w:color="auto" w:fill="auto"/>
            <w:vAlign w:val="center"/>
          </w:tcPr>
          <w:p w:rsidR="006D4B22" w:rsidRPr="002829D6"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Rehabilitation Medicine</w:t>
            </w:r>
          </w:p>
        </w:tc>
        <w:tc>
          <w:tcPr>
            <w:tcW w:w="1950" w:type="dxa"/>
            <w:shd w:val="clear" w:color="auto" w:fill="auto"/>
            <w:vAlign w:val="center"/>
          </w:tcPr>
          <w:p w:rsidR="006D4B22" w:rsidRPr="002829D6"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6D4B22" w:rsidRPr="002829D6"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shd w:val="clear" w:color="auto" w:fill="auto"/>
            <w:vAlign w:val="center"/>
          </w:tcPr>
          <w:p w:rsidR="006D4B22" w:rsidRPr="002829D6"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Renal Medicine</w:t>
            </w:r>
          </w:p>
        </w:tc>
        <w:tc>
          <w:tcPr>
            <w:tcW w:w="1950" w:type="dxa"/>
            <w:shd w:val="clear" w:color="auto" w:fill="auto"/>
            <w:vAlign w:val="center"/>
          </w:tcPr>
          <w:p w:rsidR="006D4B22" w:rsidRPr="002829D6"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6D4B22" w:rsidRPr="002829D6"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vMerge w:val="restart"/>
            <w:shd w:val="clear" w:color="auto" w:fill="auto"/>
            <w:vAlign w:val="center"/>
          </w:tcPr>
          <w:p w:rsidR="006D4B22" w:rsidRPr="002829D6"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Respiratory Medicine</w:t>
            </w:r>
          </w:p>
        </w:tc>
        <w:tc>
          <w:tcPr>
            <w:tcW w:w="1950" w:type="dxa"/>
            <w:shd w:val="clear" w:color="auto" w:fill="auto"/>
            <w:vAlign w:val="center"/>
          </w:tcPr>
          <w:p w:rsidR="006D4B22" w:rsidRPr="002829D6"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6D4B22" w:rsidRPr="002829D6"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147339">
        <w:tc>
          <w:tcPr>
            <w:tcW w:w="2158" w:type="dxa"/>
            <w:gridSpan w:val="2"/>
            <w:vMerge/>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8.0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Rheumatology</w:t>
            </w: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Stroke Medicine</w:t>
            </w: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vMerge w:val="restart"/>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Trauma and Orthopaedic Surgery</w:t>
            </w: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vMerge/>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2</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1.0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vMerge/>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4.0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vMerge w:val="restart"/>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Urology</w:t>
            </w: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vMerge/>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SpR/Specialty Trainee Level 3+</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2.0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6D4B22" w:rsidRPr="002829D6" w:rsidTr="008736D5">
        <w:tc>
          <w:tcPr>
            <w:tcW w:w="2158" w:type="dxa"/>
            <w:gridSpan w:val="2"/>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Vascular Surgery</w:t>
            </w:r>
          </w:p>
        </w:tc>
        <w:tc>
          <w:tcPr>
            <w:tcW w:w="1950" w:type="dxa"/>
            <w:shd w:val="clear" w:color="auto" w:fill="auto"/>
            <w:vAlign w:val="center"/>
          </w:tcPr>
          <w:p w:rsidR="006D4B22" w:rsidRDefault="006D4B22" w:rsidP="008736D5">
            <w:pPr>
              <w:pStyle w:val="ListParagraph"/>
              <w:spacing w:before="60" w:after="60" w:line="240" w:lineRule="auto"/>
              <w:ind w:left="0"/>
              <w:contextualSpacing/>
              <w:rPr>
                <w:rFonts w:ascii="Arial" w:hAnsi="Arial" w:cs="Arial"/>
                <w:sz w:val="16"/>
                <w:szCs w:val="16"/>
              </w:rPr>
            </w:pPr>
            <w:r>
              <w:rPr>
                <w:rFonts w:ascii="Arial" w:hAnsi="Arial" w:cs="Arial"/>
                <w:sz w:val="16"/>
                <w:szCs w:val="16"/>
              </w:rPr>
              <w:t>Foundation Year 1</w:t>
            </w:r>
          </w:p>
        </w:tc>
        <w:tc>
          <w:tcPr>
            <w:tcW w:w="1310" w:type="dxa"/>
            <w:shd w:val="clear" w:color="auto" w:fill="auto"/>
            <w:vAlign w:val="center"/>
          </w:tcPr>
          <w:p w:rsidR="006D4B22" w:rsidRDefault="006D4B22" w:rsidP="008736D5">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3.0</w:t>
            </w:r>
          </w:p>
        </w:tc>
        <w:tc>
          <w:tcPr>
            <w:tcW w:w="914"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c>
          <w:tcPr>
            <w:tcW w:w="915" w:type="dxa"/>
            <w:shd w:val="clear" w:color="auto" w:fill="auto"/>
            <w:vAlign w:val="center"/>
          </w:tcPr>
          <w:p w:rsidR="006D4B22" w:rsidRPr="002829D6" w:rsidRDefault="006D4B22" w:rsidP="00FF3FEE">
            <w:pPr>
              <w:pStyle w:val="ListParagraph"/>
              <w:spacing w:before="60" w:after="60" w:line="240" w:lineRule="auto"/>
              <w:ind w:left="0"/>
              <w:contextualSpacing/>
              <w:jc w:val="center"/>
              <w:rPr>
                <w:rFonts w:ascii="Arial" w:hAnsi="Arial" w:cs="Arial"/>
                <w:sz w:val="16"/>
                <w:szCs w:val="16"/>
              </w:rPr>
            </w:pPr>
            <w:r>
              <w:rPr>
                <w:rFonts w:ascii="Arial" w:hAnsi="Arial" w:cs="Arial"/>
                <w:sz w:val="16"/>
                <w:szCs w:val="16"/>
              </w:rPr>
              <w:t>0</w:t>
            </w:r>
          </w:p>
        </w:tc>
      </w:tr>
      <w:tr w:rsidR="00907103" w:rsidRPr="002829D6" w:rsidTr="00BD40C5">
        <w:tc>
          <w:tcPr>
            <w:tcW w:w="2158" w:type="dxa"/>
            <w:gridSpan w:val="2"/>
            <w:shd w:val="clear" w:color="auto" w:fill="B8CCE4"/>
            <w:vAlign w:val="center"/>
          </w:tcPr>
          <w:p w:rsidR="00907103" w:rsidRPr="00907103" w:rsidRDefault="00907103" w:rsidP="008736D5">
            <w:pPr>
              <w:pStyle w:val="ListParagraph"/>
              <w:spacing w:before="60" w:after="60" w:line="240" w:lineRule="auto"/>
              <w:ind w:left="0"/>
              <w:contextualSpacing/>
              <w:rPr>
                <w:rFonts w:ascii="Arial" w:hAnsi="Arial" w:cs="Arial"/>
                <w:b/>
                <w:sz w:val="16"/>
                <w:szCs w:val="16"/>
              </w:rPr>
            </w:pPr>
            <w:r>
              <w:rPr>
                <w:rFonts w:ascii="Arial" w:hAnsi="Arial" w:cs="Arial"/>
                <w:b/>
                <w:sz w:val="16"/>
                <w:szCs w:val="16"/>
              </w:rPr>
              <w:t>Grand Total</w:t>
            </w:r>
          </w:p>
        </w:tc>
        <w:tc>
          <w:tcPr>
            <w:tcW w:w="1950" w:type="dxa"/>
            <w:shd w:val="clear" w:color="auto" w:fill="B8CCE4"/>
            <w:vAlign w:val="center"/>
          </w:tcPr>
          <w:p w:rsidR="00907103" w:rsidRDefault="00907103" w:rsidP="008736D5">
            <w:pPr>
              <w:pStyle w:val="ListParagraph"/>
              <w:spacing w:before="60" w:after="60" w:line="240" w:lineRule="auto"/>
              <w:ind w:left="0"/>
              <w:contextualSpacing/>
              <w:rPr>
                <w:rFonts w:ascii="Arial" w:hAnsi="Arial" w:cs="Arial"/>
                <w:sz w:val="16"/>
                <w:szCs w:val="16"/>
              </w:rPr>
            </w:pPr>
          </w:p>
        </w:tc>
        <w:tc>
          <w:tcPr>
            <w:tcW w:w="1310" w:type="dxa"/>
            <w:shd w:val="clear" w:color="auto" w:fill="B8CCE4"/>
            <w:vAlign w:val="center"/>
          </w:tcPr>
          <w:p w:rsidR="00907103" w:rsidRPr="00907103" w:rsidRDefault="00091BBB" w:rsidP="008736D5">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321</w:t>
            </w:r>
            <w:r w:rsidR="00907103">
              <w:rPr>
                <w:rFonts w:ascii="Arial" w:hAnsi="Arial" w:cs="Arial"/>
                <w:b/>
                <w:sz w:val="16"/>
                <w:szCs w:val="16"/>
              </w:rPr>
              <w:t>.0</w:t>
            </w:r>
          </w:p>
        </w:tc>
        <w:tc>
          <w:tcPr>
            <w:tcW w:w="914" w:type="dxa"/>
            <w:shd w:val="clear" w:color="auto" w:fill="B8CCE4"/>
            <w:vAlign w:val="center"/>
          </w:tcPr>
          <w:p w:rsidR="00907103" w:rsidRPr="00907103" w:rsidRDefault="009F49F6" w:rsidP="008736D5">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15</w:t>
            </w:r>
          </w:p>
        </w:tc>
        <w:tc>
          <w:tcPr>
            <w:tcW w:w="915" w:type="dxa"/>
            <w:shd w:val="clear" w:color="auto" w:fill="B8CCE4"/>
            <w:vAlign w:val="center"/>
          </w:tcPr>
          <w:p w:rsidR="00907103" w:rsidRPr="00907103" w:rsidRDefault="00DE6855" w:rsidP="008736D5">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13</w:t>
            </w:r>
          </w:p>
        </w:tc>
        <w:tc>
          <w:tcPr>
            <w:tcW w:w="915" w:type="dxa"/>
            <w:shd w:val="clear" w:color="auto" w:fill="B8CCE4"/>
            <w:vAlign w:val="center"/>
          </w:tcPr>
          <w:p w:rsidR="00907103" w:rsidRPr="00907103" w:rsidRDefault="00DE6855" w:rsidP="008736D5">
            <w:pPr>
              <w:pStyle w:val="ListParagraph"/>
              <w:spacing w:before="60" w:after="60" w:line="240" w:lineRule="auto"/>
              <w:ind w:left="0"/>
              <w:contextualSpacing/>
              <w:jc w:val="center"/>
              <w:rPr>
                <w:rFonts w:ascii="Arial" w:hAnsi="Arial" w:cs="Arial"/>
                <w:b/>
                <w:sz w:val="16"/>
                <w:szCs w:val="16"/>
              </w:rPr>
            </w:pPr>
            <w:r>
              <w:rPr>
                <w:rFonts w:ascii="Arial" w:hAnsi="Arial" w:cs="Arial"/>
                <w:b/>
                <w:sz w:val="16"/>
                <w:szCs w:val="16"/>
              </w:rPr>
              <w:t>13</w:t>
            </w:r>
          </w:p>
        </w:tc>
      </w:tr>
    </w:tbl>
    <w:p w:rsidR="00147339" w:rsidRDefault="00147339" w:rsidP="00A605E6">
      <w:pPr>
        <w:pStyle w:val="ListParagraph"/>
        <w:ind w:left="360"/>
        <w:contextualSpacing/>
        <w:jc w:val="both"/>
        <w:rPr>
          <w:rFonts w:ascii="Arial" w:hAnsi="Arial" w:cs="Arial"/>
          <w:sz w:val="21"/>
          <w:szCs w:val="21"/>
        </w:rPr>
      </w:pPr>
    </w:p>
    <w:p w:rsidR="00463DBE" w:rsidRDefault="0011798D" w:rsidP="00A605E6">
      <w:pPr>
        <w:pStyle w:val="ListParagraph"/>
        <w:ind w:left="360"/>
        <w:contextualSpacing/>
        <w:jc w:val="both"/>
        <w:rPr>
          <w:rFonts w:ascii="Arial" w:hAnsi="Arial" w:cs="Arial"/>
          <w:sz w:val="21"/>
          <w:szCs w:val="21"/>
        </w:rPr>
      </w:pPr>
      <w:r>
        <w:rPr>
          <w:rFonts w:ascii="Arial" w:hAnsi="Arial" w:cs="Arial"/>
          <w:sz w:val="21"/>
          <w:szCs w:val="21"/>
        </w:rPr>
        <w:t xml:space="preserve">There were a total of 49 (6%) vacant posts </w:t>
      </w:r>
      <w:r w:rsidR="004E2083">
        <w:rPr>
          <w:rFonts w:ascii="Arial" w:hAnsi="Arial" w:cs="Arial"/>
          <w:sz w:val="21"/>
          <w:szCs w:val="21"/>
        </w:rPr>
        <w:t xml:space="preserve">for medical trainees </w:t>
      </w:r>
      <w:r>
        <w:rPr>
          <w:rFonts w:ascii="Arial" w:hAnsi="Arial" w:cs="Arial"/>
          <w:sz w:val="21"/>
          <w:szCs w:val="21"/>
        </w:rPr>
        <w:t>across the Trust at the beginning of the quarter</w:t>
      </w:r>
      <w:r w:rsidR="00463DBE">
        <w:rPr>
          <w:rFonts w:ascii="Arial" w:hAnsi="Arial" w:cs="Arial"/>
          <w:sz w:val="21"/>
          <w:szCs w:val="21"/>
        </w:rPr>
        <w:t xml:space="preserve">. </w:t>
      </w:r>
      <w:r w:rsidR="00E6256D">
        <w:rPr>
          <w:rFonts w:ascii="Arial" w:hAnsi="Arial" w:cs="Arial"/>
          <w:sz w:val="21"/>
          <w:szCs w:val="21"/>
        </w:rPr>
        <w:t xml:space="preserve">This number reduced to 39 (4.5%) </w:t>
      </w:r>
      <w:r w:rsidR="004E2083">
        <w:rPr>
          <w:rFonts w:ascii="Arial" w:hAnsi="Arial" w:cs="Arial"/>
          <w:sz w:val="21"/>
          <w:szCs w:val="21"/>
        </w:rPr>
        <w:t xml:space="preserve">by the end of the quarter. </w:t>
      </w:r>
    </w:p>
    <w:p w:rsidR="002F1B5C" w:rsidRPr="00A605E6" w:rsidRDefault="002F1B5C" w:rsidP="00A605E6">
      <w:pPr>
        <w:pStyle w:val="ListParagraph"/>
        <w:ind w:left="360"/>
        <w:contextualSpacing/>
        <w:jc w:val="both"/>
        <w:rPr>
          <w:rFonts w:ascii="Arial" w:hAnsi="Arial" w:cs="Arial"/>
          <w:sz w:val="21"/>
          <w:szCs w:val="21"/>
        </w:rPr>
      </w:pPr>
    </w:p>
    <w:p w:rsidR="00A605E6" w:rsidRDefault="00502D2E" w:rsidP="008A56F1">
      <w:pPr>
        <w:pStyle w:val="ListParagraph"/>
        <w:numPr>
          <w:ilvl w:val="0"/>
          <w:numId w:val="4"/>
        </w:numPr>
        <w:contextualSpacing/>
        <w:jc w:val="both"/>
        <w:rPr>
          <w:rFonts w:ascii="Arial" w:hAnsi="Arial" w:cs="Arial"/>
          <w:b/>
          <w:sz w:val="21"/>
          <w:szCs w:val="21"/>
        </w:rPr>
      </w:pPr>
      <w:r>
        <w:rPr>
          <w:rFonts w:ascii="Arial" w:hAnsi="Arial" w:cs="Arial"/>
          <w:b/>
          <w:sz w:val="21"/>
          <w:szCs w:val="21"/>
        </w:rPr>
        <w:t>Summary</w:t>
      </w:r>
      <w:r w:rsidR="00F27AB8">
        <w:rPr>
          <w:rFonts w:ascii="Arial" w:hAnsi="Arial" w:cs="Arial"/>
          <w:b/>
          <w:sz w:val="21"/>
          <w:szCs w:val="21"/>
        </w:rPr>
        <w:t xml:space="preserve">  </w:t>
      </w:r>
    </w:p>
    <w:p w:rsidR="004F6056" w:rsidRDefault="004F6056" w:rsidP="004F6056">
      <w:pPr>
        <w:pStyle w:val="ListParagraph"/>
        <w:ind w:left="360"/>
        <w:contextualSpacing/>
        <w:jc w:val="both"/>
        <w:rPr>
          <w:rFonts w:ascii="Arial" w:hAnsi="Arial" w:cs="Arial"/>
          <w:b/>
          <w:sz w:val="21"/>
          <w:szCs w:val="21"/>
        </w:rPr>
      </w:pPr>
    </w:p>
    <w:p w:rsidR="009802A6" w:rsidRDefault="004F6056" w:rsidP="004F6056">
      <w:pPr>
        <w:pStyle w:val="ListParagraph"/>
        <w:ind w:left="360"/>
        <w:contextualSpacing/>
        <w:jc w:val="both"/>
        <w:rPr>
          <w:rFonts w:ascii="Arial" w:hAnsi="Arial" w:cs="Arial"/>
          <w:sz w:val="21"/>
          <w:szCs w:val="21"/>
        </w:rPr>
      </w:pPr>
      <w:r w:rsidRPr="004F6056">
        <w:rPr>
          <w:rFonts w:ascii="Arial" w:hAnsi="Arial" w:cs="Arial"/>
          <w:sz w:val="21"/>
          <w:szCs w:val="21"/>
        </w:rPr>
        <w:t>The</w:t>
      </w:r>
      <w:r w:rsidR="003F0283">
        <w:rPr>
          <w:rFonts w:ascii="Arial" w:hAnsi="Arial" w:cs="Arial"/>
          <w:sz w:val="21"/>
          <w:szCs w:val="21"/>
        </w:rPr>
        <w:t xml:space="preserve"> number of doctors on the 2016 Terms and condition of service (TCS) wi</w:t>
      </w:r>
      <w:r w:rsidR="00BA1E46">
        <w:rPr>
          <w:rFonts w:ascii="Arial" w:hAnsi="Arial" w:cs="Arial"/>
          <w:sz w:val="21"/>
          <w:szCs w:val="21"/>
        </w:rPr>
        <w:t>thin the Trust no</w:t>
      </w:r>
      <w:r w:rsidR="00961DA1">
        <w:rPr>
          <w:rFonts w:ascii="Arial" w:hAnsi="Arial" w:cs="Arial"/>
          <w:sz w:val="21"/>
          <w:szCs w:val="21"/>
        </w:rPr>
        <w:t>w</w:t>
      </w:r>
      <w:r w:rsidR="00E6256D">
        <w:rPr>
          <w:rFonts w:ascii="Arial" w:hAnsi="Arial" w:cs="Arial"/>
          <w:sz w:val="21"/>
          <w:szCs w:val="21"/>
        </w:rPr>
        <w:t xml:space="preserve"> stands at 616, (72%), an</w:t>
      </w:r>
      <w:r w:rsidR="00BA1E46">
        <w:rPr>
          <w:rFonts w:ascii="Arial" w:hAnsi="Arial" w:cs="Arial"/>
          <w:sz w:val="21"/>
          <w:szCs w:val="21"/>
        </w:rPr>
        <w:t xml:space="preserve"> </w:t>
      </w:r>
      <w:r w:rsidR="008651A4">
        <w:rPr>
          <w:rFonts w:ascii="Arial" w:hAnsi="Arial" w:cs="Arial"/>
          <w:sz w:val="21"/>
          <w:szCs w:val="21"/>
        </w:rPr>
        <w:t xml:space="preserve">increase of 5% </w:t>
      </w:r>
      <w:r w:rsidR="00764913">
        <w:rPr>
          <w:rFonts w:ascii="Arial" w:hAnsi="Arial" w:cs="Arial"/>
          <w:sz w:val="21"/>
          <w:szCs w:val="21"/>
        </w:rPr>
        <w:t xml:space="preserve">since the previous quarterly report. </w:t>
      </w:r>
    </w:p>
    <w:p w:rsidR="0049756F" w:rsidRDefault="0049756F" w:rsidP="004F6056">
      <w:pPr>
        <w:pStyle w:val="ListParagraph"/>
        <w:ind w:left="360"/>
        <w:contextualSpacing/>
        <w:jc w:val="both"/>
        <w:rPr>
          <w:rFonts w:ascii="Arial" w:hAnsi="Arial" w:cs="Arial"/>
          <w:sz w:val="21"/>
          <w:szCs w:val="21"/>
        </w:rPr>
      </w:pPr>
    </w:p>
    <w:p w:rsidR="0049756F" w:rsidRDefault="0049756F" w:rsidP="004F6056">
      <w:pPr>
        <w:pStyle w:val="ListParagraph"/>
        <w:ind w:left="360"/>
        <w:contextualSpacing/>
        <w:jc w:val="both"/>
        <w:rPr>
          <w:rFonts w:ascii="Arial" w:hAnsi="Arial" w:cs="Arial"/>
          <w:sz w:val="21"/>
          <w:szCs w:val="21"/>
        </w:rPr>
      </w:pPr>
      <w:r>
        <w:rPr>
          <w:rFonts w:ascii="Arial" w:hAnsi="Arial" w:cs="Arial"/>
          <w:sz w:val="21"/>
          <w:szCs w:val="21"/>
        </w:rPr>
        <w:t xml:space="preserve">202 exception reports were submitted during the quarter. 70% of these were submitted by Year 1 Foundation doctors. </w:t>
      </w:r>
    </w:p>
    <w:p w:rsidR="0049756F" w:rsidRDefault="0049756F" w:rsidP="004F6056">
      <w:pPr>
        <w:pStyle w:val="ListParagraph"/>
        <w:ind w:left="360"/>
        <w:contextualSpacing/>
        <w:jc w:val="both"/>
        <w:rPr>
          <w:rFonts w:ascii="Arial" w:hAnsi="Arial" w:cs="Arial"/>
          <w:sz w:val="21"/>
          <w:szCs w:val="21"/>
        </w:rPr>
      </w:pPr>
    </w:p>
    <w:p w:rsidR="0049756F" w:rsidRDefault="0049756F" w:rsidP="004F6056">
      <w:pPr>
        <w:pStyle w:val="ListParagraph"/>
        <w:ind w:left="360"/>
        <w:contextualSpacing/>
        <w:jc w:val="both"/>
        <w:rPr>
          <w:rFonts w:ascii="Arial" w:hAnsi="Arial" w:cs="Arial"/>
          <w:sz w:val="21"/>
          <w:szCs w:val="21"/>
        </w:rPr>
      </w:pPr>
      <w:r>
        <w:rPr>
          <w:rFonts w:ascii="Arial" w:hAnsi="Arial" w:cs="Arial"/>
          <w:sz w:val="21"/>
          <w:szCs w:val="21"/>
        </w:rPr>
        <w:t xml:space="preserve">89% </w:t>
      </w:r>
      <w:r w:rsidR="00957248">
        <w:rPr>
          <w:rFonts w:ascii="Arial" w:hAnsi="Arial" w:cs="Arial"/>
          <w:sz w:val="21"/>
          <w:szCs w:val="21"/>
        </w:rPr>
        <w:t xml:space="preserve">(180) </w:t>
      </w:r>
      <w:r>
        <w:rPr>
          <w:rFonts w:ascii="Arial" w:hAnsi="Arial" w:cs="Arial"/>
          <w:sz w:val="21"/>
          <w:szCs w:val="21"/>
        </w:rPr>
        <w:t xml:space="preserve">of exception reports </w:t>
      </w:r>
      <w:r w:rsidR="00957248">
        <w:rPr>
          <w:rFonts w:ascii="Arial" w:hAnsi="Arial" w:cs="Arial"/>
          <w:sz w:val="21"/>
          <w:szCs w:val="21"/>
        </w:rPr>
        <w:t>were submitted as a result of the trainees working in excess of contracted hours. The majority of trainees were paid for the additional hours</w:t>
      </w:r>
      <w:r w:rsidR="00B5659C">
        <w:rPr>
          <w:rFonts w:ascii="Arial" w:hAnsi="Arial" w:cs="Arial"/>
          <w:sz w:val="21"/>
          <w:szCs w:val="21"/>
        </w:rPr>
        <w:t xml:space="preserve"> worked. Time back was given in 13% of cases.</w:t>
      </w:r>
    </w:p>
    <w:p w:rsidR="00CA1C06" w:rsidRDefault="00CA1C06" w:rsidP="004F6056">
      <w:pPr>
        <w:pStyle w:val="ListParagraph"/>
        <w:ind w:left="360"/>
        <w:contextualSpacing/>
        <w:jc w:val="both"/>
        <w:rPr>
          <w:rFonts w:ascii="Arial" w:hAnsi="Arial" w:cs="Arial"/>
          <w:sz w:val="21"/>
          <w:szCs w:val="21"/>
        </w:rPr>
      </w:pPr>
    </w:p>
    <w:p w:rsidR="00BD4ECB" w:rsidRPr="00371BFB" w:rsidRDefault="009802A6" w:rsidP="00371BFB">
      <w:pPr>
        <w:pStyle w:val="ListParagraph"/>
        <w:ind w:left="360"/>
        <w:contextualSpacing/>
        <w:jc w:val="both"/>
        <w:rPr>
          <w:rFonts w:ascii="Arial" w:hAnsi="Arial" w:cs="Arial"/>
          <w:sz w:val="21"/>
          <w:szCs w:val="21"/>
        </w:rPr>
      </w:pPr>
      <w:r>
        <w:rPr>
          <w:rFonts w:ascii="Arial" w:hAnsi="Arial" w:cs="Arial"/>
          <w:sz w:val="21"/>
          <w:szCs w:val="21"/>
        </w:rPr>
        <w:t xml:space="preserve">The number </w:t>
      </w:r>
      <w:r w:rsidR="00CA1C06">
        <w:rPr>
          <w:rFonts w:ascii="Arial" w:hAnsi="Arial" w:cs="Arial"/>
          <w:sz w:val="21"/>
          <w:szCs w:val="21"/>
        </w:rPr>
        <w:t xml:space="preserve">of exception reports submitted </w:t>
      </w:r>
      <w:r>
        <w:rPr>
          <w:rFonts w:ascii="Arial" w:hAnsi="Arial" w:cs="Arial"/>
          <w:sz w:val="21"/>
          <w:szCs w:val="21"/>
        </w:rPr>
        <w:t>during this quarter was higher than the</w:t>
      </w:r>
      <w:r w:rsidR="00CA1C06">
        <w:rPr>
          <w:rFonts w:ascii="Arial" w:hAnsi="Arial" w:cs="Arial"/>
          <w:sz w:val="21"/>
          <w:szCs w:val="21"/>
        </w:rPr>
        <w:t xml:space="preserve"> average number received in a quarter. Examination of the data for 2017 and 2018 indicates a similar pattern with the highest number of exception reports being submitted in August and September.  </w:t>
      </w:r>
      <w:r w:rsidR="00764913">
        <w:rPr>
          <w:rFonts w:ascii="Arial" w:hAnsi="Arial" w:cs="Arial"/>
          <w:sz w:val="21"/>
          <w:szCs w:val="21"/>
        </w:rPr>
        <w:t>Th</w:t>
      </w:r>
      <w:r w:rsidR="00371BFB">
        <w:rPr>
          <w:rFonts w:ascii="Arial" w:hAnsi="Arial" w:cs="Arial"/>
          <w:sz w:val="21"/>
          <w:szCs w:val="21"/>
        </w:rPr>
        <w:t>e</w:t>
      </w:r>
      <w:r w:rsidR="00764913">
        <w:rPr>
          <w:rFonts w:ascii="Arial" w:hAnsi="Arial" w:cs="Arial"/>
          <w:sz w:val="21"/>
          <w:szCs w:val="21"/>
        </w:rPr>
        <w:t xml:space="preserve"> increase</w:t>
      </w:r>
      <w:r w:rsidR="00371BFB">
        <w:rPr>
          <w:rFonts w:ascii="Arial" w:hAnsi="Arial" w:cs="Arial"/>
          <w:sz w:val="21"/>
          <w:szCs w:val="21"/>
        </w:rPr>
        <w:t xml:space="preserve"> in the number of trainees on the 2016 contract</w:t>
      </w:r>
      <w:r w:rsidR="00764913">
        <w:rPr>
          <w:rFonts w:ascii="Arial" w:hAnsi="Arial" w:cs="Arial"/>
          <w:sz w:val="21"/>
          <w:szCs w:val="21"/>
        </w:rPr>
        <w:t xml:space="preserve"> </w:t>
      </w:r>
      <w:r w:rsidR="00371BFB">
        <w:rPr>
          <w:rFonts w:ascii="Arial" w:hAnsi="Arial" w:cs="Arial"/>
          <w:sz w:val="21"/>
          <w:szCs w:val="21"/>
        </w:rPr>
        <w:t>together with an</w:t>
      </w:r>
      <w:r w:rsidR="00764913">
        <w:rPr>
          <w:rFonts w:ascii="Arial" w:hAnsi="Arial" w:cs="Arial"/>
          <w:sz w:val="21"/>
          <w:szCs w:val="21"/>
        </w:rPr>
        <w:t xml:space="preserve"> increased understanding of the TCS by the trainees </w:t>
      </w:r>
      <w:r w:rsidR="00371BFB">
        <w:rPr>
          <w:rFonts w:ascii="Arial" w:hAnsi="Arial" w:cs="Arial"/>
          <w:sz w:val="21"/>
          <w:szCs w:val="21"/>
        </w:rPr>
        <w:t xml:space="preserve">would </w:t>
      </w:r>
      <w:r w:rsidR="00764913">
        <w:rPr>
          <w:rFonts w:ascii="Arial" w:hAnsi="Arial" w:cs="Arial"/>
          <w:sz w:val="21"/>
          <w:szCs w:val="21"/>
        </w:rPr>
        <w:t>have contributed to the increase in the number of exception reports submitted in this quarter.</w:t>
      </w:r>
      <w:r w:rsidR="00371BFB">
        <w:rPr>
          <w:rFonts w:ascii="Arial" w:hAnsi="Arial" w:cs="Arial"/>
          <w:sz w:val="21"/>
          <w:szCs w:val="21"/>
        </w:rPr>
        <w:t xml:space="preserve"> </w:t>
      </w:r>
      <w:r w:rsidR="00371BFB" w:rsidRPr="00371BFB">
        <w:rPr>
          <w:rFonts w:ascii="Arial" w:hAnsi="Arial" w:cs="Arial"/>
          <w:sz w:val="21"/>
          <w:szCs w:val="21"/>
        </w:rPr>
        <w:t>High workload and gaps in the rotas are the main factors influencing the level of exception reporting.</w:t>
      </w:r>
    </w:p>
    <w:p w:rsidR="004F6056" w:rsidRPr="009F275C" w:rsidRDefault="004F6056" w:rsidP="009F275C">
      <w:pPr>
        <w:pStyle w:val="ListParagraph"/>
        <w:ind w:left="360"/>
        <w:contextualSpacing/>
        <w:jc w:val="both"/>
        <w:rPr>
          <w:rFonts w:ascii="Arial" w:hAnsi="Arial" w:cs="Arial"/>
          <w:sz w:val="21"/>
          <w:szCs w:val="21"/>
        </w:rPr>
      </w:pPr>
    </w:p>
    <w:p w:rsidR="00C96683" w:rsidRDefault="009F275C" w:rsidP="00502D2E">
      <w:pPr>
        <w:pStyle w:val="ListParagraph"/>
        <w:ind w:left="360"/>
        <w:contextualSpacing/>
        <w:jc w:val="both"/>
        <w:rPr>
          <w:rFonts w:ascii="Arial" w:hAnsi="Arial" w:cs="Arial"/>
          <w:sz w:val="21"/>
          <w:szCs w:val="21"/>
        </w:rPr>
      </w:pPr>
      <w:r>
        <w:rPr>
          <w:rFonts w:ascii="Arial" w:hAnsi="Arial" w:cs="Arial"/>
          <w:sz w:val="21"/>
          <w:szCs w:val="21"/>
        </w:rPr>
        <w:t>4</w:t>
      </w:r>
      <w:r w:rsidR="00C94ABA">
        <w:rPr>
          <w:rFonts w:ascii="Arial" w:hAnsi="Arial" w:cs="Arial"/>
          <w:sz w:val="21"/>
          <w:szCs w:val="21"/>
        </w:rPr>
        <w:t xml:space="preserve"> </w:t>
      </w:r>
      <w:r>
        <w:rPr>
          <w:rFonts w:ascii="Arial" w:hAnsi="Arial" w:cs="Arial"/>
          <w:sz w:val="21"/>
          <w:szCs w:val="21"/>
        </w:rPr>
        <w:t>exception reports from the previous quarter and 34</w:t>
      </w:r>
      <w:r w:rsidR="00C94ABA">
        <w:rPr>
          <w:rFonts w:ascii="Arial" w:hAnsi="Arial" w:cs="Arial"/>
          <w:sz w:val="21"/>
          <w:szCs w:val="21"/>
        </w:rPr>
        <w:t xml:space="preserve"> from this quarter </w:t>
      </w:r>
      <w:r w:rsidR="00655763">
        <w:rPr>
          <w:rFonts w:ascii="Arial" w:hAnsi="Arial" w:cs="Arial"/>
          <w:sz w:val="21"/>
          <w:szCs w:val="21"/>
        </w:rPr>
        <w:t>remain outstanding</w:t>
      </w:r>
      <w:r w:rsidR="00C94ABA">
        <w:rPr>
          <w:rFonts w:ascii="Arial" w:hAnsi="Arial" w:cs="Arial"/>
          <w:sz w:val="21"/>
          <w:szCs w:val="21"/>
        </w:rPr>
        <w:t xml:space="preserve"> at the time on this report</w:t>
      </w:r>
      <w:r w:rsidR="00655763">
        <w:rPr>
          <w:rFonts w:ascii="Arial" w:hAnsi="Arial" w:cs="Arial"/>
          <w:sz w:val="21"/>
          <w:szCs w:val="21"/>
        </w:rPr>
        <w:t xml:space="preserve">. </w:t>
      </w:r>
      <w:r>
        <w:rPr>
          <w:rFonts w:ascii="Arial" w:hAnsi="Arial" w:cs="Arial"/>
          <w:sz w:val="21"/>
          <w:szCs w:val="21"/>
        </w:rPr>
        <w:t xml:space="preserve">Relevant trainees and educational supervisors have been contacted </w:t>
      </w:r>
      <w:r w:rsidR="00E235A8">
        <w:rPr>
          <w:rFonts w:ascii="Arial" w:hAnsi="Arial" w:cs="Arial"/>
          <w:sz w:val="21"/>
          <w:szCs w:val="21"/>
        </w:rPr>
        <w:t xml:space="preserve">to identify </w:t>
      </w:r>
      <w:r>
        <w:rPr>
          <w:rFonts w:ascii="Arial" w:hAnsi="Arial" w:cs="Arial"/>
          <w:sz w:val="21"/>
          <w:szCs w:val="21"/>
        </w:rPr>
        <w:t xml:space="preserve">any difficulties that </w:t>
      </w:r>
      <w:r w:rsidR="00E235A8">
        <w:rPr>
          <w:rFonts w:ascii="Arial" w:hAnsi="Arial" w:cs="Arial"/>
          <w:sz w:val="21"/>
          <w:szCs w:val="21"/>
        </w:rPr>
        <w:t xml:space="preserve">may be delaying reports being actioned. </w:t>
      </w:r>
    </w:p>
    <w:p w:rsidR="00655763" w:rsidRDefault="00E235A8" w:rsidP="00502D2E">
      <w:pPr>
        <w:pStyle w:val="ListParagraph"/>
        <w:ind w:left="360"/>
        <w:contextualSpacing/>
        <w:jc w:val="both"/>
        <w:rPr>
          <w:rFonts w:ascii="Arial" w:hAnsi="Arial" w:cs="Arial"/>
          <w:sz w:val="21"/>
          <w:szCs w:val="21"/>
        </w:rPr>
      </w:pPr>
      <w:r>
        <w:rPr>
          <w:rFonts w:ascii="Arial" w:hAnsi="Arial" w:cs="Arial"/>
          <w:sz w:val="21"/>
          <w:szCs w:val="21"/>
        </w:rPr>
        <w:lastRenderedPageBreak/>
        <w:t xml:space="preserve">The purpose of exception reports is to ensure that prompt action is taken to maintain safe working hours. Within the TCS, reviewers should respond to exception reports within 7 days of a report being submitted. </w:t>
      </w:r>
      <w:r w:rsidR="00C96683">
        <w:rPr>
          <w:rFonts w:ascii="Arial" w:hAnsi="Arial" w:cs="Arial"/>
          <w:sz w:val="21"/>
          <w:szCs w:val="21"/>
        </w:rPr>
        <w:t xml:space="preserve">The majority of exception reports within MFT are currently not actioned within this timescale. Written communication about </w:t>
      </w:r>
      <w:r w:rsidR="00964FE3">
        <w:rPr>
          <w:rFonts w:ascii="Arial" w:hAnsi="Arial" w:cs="Arial"/>
          <w:sz w:val="21"/>
          <w:szCs w:val="21"/>
        </w:rPr>
        <w:t>exception reports and the timescale for closing them</w:t>
      </w:r>
      <w:r w:rsidR="00C96683">
        <w:rPr>
          <w:rFonts w:ascii="Arial" w:hAnsi="Arial" w:cs="Arial"/>
          <w:sz w:val="21"/>
          <w:szCs w:val="21"/>
        </w:rPr>
        <w:t xml:space="preserve"> together with </w:t>
      </w:r>
      <w:r w:rsidR="00964FE3">
        <w:rPr>
          <w:rFonts w:ascii="Arial" w:hAnsi="Arial" w:cs="Arial"/>
          <w:sz w:val="21"/>
          <w:szCs w:val="21"/>
        </w:rPr>
        <w:t xml:space="preserve">an update of the amendments to the 2016 TCS will be forwarded to the educational supervisors.  In addition drop in sessions for supervisors </w:t>
      </w:r>
      <w:r w:rsidR="00B5659C">
        <w:rPr>
          <w:rFonts w:ascii="Arial" w:hAnsi="Arial" w:cs="Arial"/>
          <w:sz w:val="21"/>
          <w:szCs w:val="21"/>
        </w:rPr>
        <w:t>are also planned.</w:t>
      </w:r>
    </w:p>
    <w:p w:rsidR="0049756F" w:rsidRDefault="0049756F" w:rsidP="00502D2E">
      <w:pPr>
        <w:pStyle w:val="ListParagraph"/>
        <w:ind w:left="360"/>
        <w:contextualSpacing/>
        <w:jc w:val="both"/>
        <w:rPr>
          <w:rFonts w:ascii="Arial" w:hAnsi="Arial" w:cs="Arial"/>
          <w:sz w:val="21"/>
          <w:szCs w:val="21"/>
        </w:rPr>
      </w:pPr>
    </w:p>
    <w:p w:rsidR="0049756F" w:rsidRDefault="0049756F" w:rsidP="00502D2E">
      <w:pPr>
        <w:pStyle w:val="ListParagraph"/>
        <w:ind w:left="360"/>
        <w:contextualSpacing/>
        <w:jc w:val="both"/>
        <w:rPr>
          <w:rFonts w:ascii="Arial" w:hAnsi="Arial" w:cs="Arial"/>
          <w:sz w:val="21"/>
          <w:szCs w:val="21"/>
        </w:rPr>
      </w:pPr>
    </w:p>
    <w:p w:rsidR="0049756F" w:rsidRDefault="0049756F" w:rsidP="00502D2E">
      <w:pPr>
        <w:pStyle w:val="ListParagraph"/>
        <w:ind w:left="360"/>
        <w:contextualSpacing/>
        <w:jc w:val="both"/>
        <w:rPr>
          <w:rFonts w:ascii="Arial" w:hAnsi="Arial" w:cs="Arial"/>
          <w:sz w:val="21"/>
          <w:szCs w:val="21"/>
        </w:rPr>
      </w:pPr>
    </w:p>
    <w:p w:rsidR="00964FE3" w:rsidRPr="00964FE3" w:rsidRDefault="00964FE3" w:rsidP="00964FE3">
      <w:pPr>
        <w:contextualSpacing/>
        <w:jc w:val="both"/>
        <w:rPr>
          <w:rFonts w:ascii="Arial" w:hAnsi="Arial" w:cs="Arial"/>
          <w:b/>
          <w:sz w:val="21"/>
          <w:szCs w:val="21"/>
        </w:rPr>
      </w:pPr>
    </w:p>
    <w:p w:rsidR="00655763" w:rsidRDefault="00655763" w:rsidP="00502D2E">
      <w:pPr>
        <w:pStyle w:val="ListParagraph"/>
        <w:ind w:left="360"/>
        <w:contextualSpacing/>
        <w:jc w:val="both"/>
        <w:rPr>
          <w:rFonts w:ascii="Arial" w:hAnsi="Arial" w:cs="Arial"/>
          <w:b/>
          <w:sz w:val="21"/>
          <w:szCs w:val="21"/>
        </w:rPr>
      </w:pPr>
    </w:p>
    <w:p w:rsidR="00655763" w:rsidRDefault="00655763" w:rsidP="00502D2E">
      <w:pPr>
        <w:pStyle w:val="ListParagraph"/>
        <w:ind w:left="360"/>
        <w:contextualSpacing/>
        <w:jc w:val="both"/>
        <w:rPr>
          <w:rFonts w:ascii="Arial" w:hAnsi="Arial" w:cs="Arial"/>
          <w:b/>
          <w:sz w:val="21"/>
          <w:szCs w:val="21"/>
        </w:rPr>
      </w:pPr>
    </w:p>
    <w:p w:rsidR="00655763" w:rsidRDefault="00655763" w:rsidP="00502D2E">
      <w:pPr>
        <w:pStyle w:val="ListParagraph"/>
        <w:ind w:left="360"/>
        <w:contextualSpacing/>
        <w:jc w:val="both"/>
        <w:rPr>
          <w:rFonts w:ascii="Arial" w:hAnsi="Arial" w:cs="Arial"/>
          <w:b/>
          <w:sz w:val="21"/>
          <w:szCs w:val="21"/>
        </w:rPr>
      </w:pPr>
    </w:p>
    <w:p w:rsidR="00BD4ECB" w:rsidRDefault="00BD4ECB" w:rsidP="00A4726E">
      <w:pPr>
        <w:pStyle w:val="ListParagraph"/>
        <w:ind w:left="0"/>
        <w:contextualSpacing/>
        <w:jc w:val="both"/>
        <w:rPr>
          <w:rFonts w:ascii="Arial" w:hAnsi="Arial" w:cs="Arial"/>
          <w:b/>
          <w:sz w:val="21"/>
          <w:szCs w:val="21"/>
        </w:rPr>
      </w:pPr>
    </w:p>
    <w:p w:rsidR="00BD4ECB" w:rsidRDefault="00BD4ECB" w:rsidP="00502D2E">
      <w:pPr>
        <w:pStyle w:val="ListParagraph"/>
        <w:ind w:left="360"/>
        <w:contextualSpacing/>
        <w:jc w:val="both"/>
        <w:rPr>
          <w:rFonts w:ascii="Arial" w:hAnsi="Arial" w:cs="Arial"/>
          <w:b/>
          <w:sz w:val="21"/>
          <w:szCs w:val="21"/>
        </w:rPr>
      </w:pPr>
    </w:p>
    <w:p w:rsidR="00E35236" w:rsidRDefault="00E35236" w:rsidP="00502D2E">
      <w:pPr>
        <w:pStyle w:val="ListParagraph"/>
        <w:ind w:left="360"/>
        <w:contextualSpacing/>
        <w:jc w:val="both"/>
        <w:rPr>
          <w:rFonts w:ascii="Arial" w:hAnsi="Arial" w:cs="Arial"/>
          <w:b/>
          <w:sz w:val="21"/>
          <w:szCs w:val="21"/>
        </w:rPr>
      </w:pPr>
    </w:p>
    <w:p w:rsidR="009F275C" w:rsidRDefault="009F275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B5659C" w:rsidRDefault="00B5659C" w:rsidP="00502D2E">
      <w:pPr>
        <w:pStyle w:val="ListParagraph"/>
        <w:ind w:left="360"/>
        <w:contextualSpacing/>
        <w:jc w:val="both"/>
        <w:rPr>
          <w:rFonts w:ascii="Arial" w:hAnsi="Arial" w:cs="Arial"/>
          <w:b/>
          <w:sz w:val="21"/>
          <w:szCs w:val="21"/>
        </w:rPr>
      </w:pPr>
    </w:p>
    <w:p w:rsidR="009F275C" w:rsidRDefault="009F275C" w:rsidP="00502D2E">
      <w:pPr>
        <w:pStyle w:val="ListParagraph"/>
        <w:ind w:left="360"/>
        <w:contextualSpacing/>
        <w:jc w:val="both"/>
        <w:rPr>
          <w:rFonts w:ascii="Arial" w:hAnsi="Arial" w:cs="Arial"/>
          <w:b/>
          <w:sz w:val="21"/>
          <w:szCs w:val="21"/>
        </w:rPr>
      </w:pPr>
    </w:p>
    <w:p w:rsidR="00123E23" w:rsidRDefault="00123E23" w:rsidP="00123E23">
      <w:pPr>
        <w:pStyle w:val="ListParagraph"/>
        <w:spacing w:after="0" w:line="240" w:lineRule="auto"/>
        <w:ind w:left="0"/>
        <w:contextualSpacing/>
        <w:rPr>
          <w:rFonts w:ascii="Arial" w:hAnsi="Arial" w:cs="Arial"/>
          <w:b/>
          <w:sz w:val="21"/>
          <w:szCs w:val="21"/>
        </w:rPr>
      </w:pPr>
    </w:p>
    <w:p w:rsidR="00577A30" w:rsidRDefault="00577A30" w:rsidP="00123E23">
      <w:pPr>
        <w:pStyle w:val="ListParagraph"/>
        <w:spacing w:after="0" w:line="240" w:lineRule="auto"/>
        <w:ind w:left="0"/>
        <w:contextualSpacing/>
        <w:jc w:val="right"/>
        <w:rPr>
          <w:rFonts w:ascii="Arial" w:hAnsi="Arial" w:cs="Arial"/>
          <w:b/>
          <w:sz w:val="21"/>
          <w:szCs w:val="21"/>
        </w:rPr>
      </w:pPr>
      <w:r>
        <w:rPr>
          <w:rFonts w:ascii="Arial" w:hAnsi="Arial" w:cs="Arial"/>
          <w:b/>
          <w:sz w:val="21"/>
          <w:szCs w:val="21"/>
        </w:rPr>
        <w:lastRenderedPageBreak/>
        <w:t>Appendix 1</w:t>
      </w:r>
    </w:p>
    <w:p w:rsidR="00577A30" w:rsidRDefault="00577A30" w:rsidP="00577A30">
      <w:pPr>
        <w:pStyle w:val="ListParagraph"/>
        <w:spacing w:after="0" w:line="240" w:lineRule="auto"/>
        <w:ind w:left="0"/>
        <w:contextualSpacing/>
        <w:jc w:val="both"/>
        <w:rPr>
          <w:rFonts w:ascii="Arial" w:hAnsi="Arial" w:cs="Arial"/>
          <w:b/>
          <w:sz w:val="21"/>
          <w:szCs w:val="21"/>
        </w:rPr>
      </w:pPr>
    </w:p>
    <w:p w:rsidR="00170CB8" w:rsidRDefault="00170CB8" w:rsidP="00170CB8">
      <w:pPr>
        <w:pStyle w:val="ListParagraph"/>
        <w:spacing w:after="0" w:line="240" w:lineRule="auto"/>
        <w:ind w:left="0"/>
        <w:contextualSpacing/>
        <w:jc w:val="both"/>
        <w:rPr>
          <w:rFonts w:ascii="Arial" w:hAnsi="Arial" w:cs="Arial"/>
          <w:b/>
          <w:sz w:val="21"/>
          <w:szCs w:val="21"/>
        </w:rPr>
      </w:pPr>
      <w:r>
        <w:rPr>
          <w:rFonts w:ascii="Arial" w:hAnsi="Arial" w:cs="Arial"/>
          <w:b/>
          <w:sz w:val="21"/>
          <w:szCs w:val="21"/>
        </w:rPr>
        <w:t>Total number of exception reports submitted each month and number closed at the end of the month (Period August 2017 – June 2019)</w:t>
      </w:r>
    </w:p>
    <w:p w:rsidR="00170CB8" w:rsidRDefault="00170CB8" w:rsidP="00170CB8">
      <w:pPr>
        <w:pStyle w:val="ListParagraph"/>
        <w:spacing w:after="0" w:line="240" w:lineRule="auto"/>
        <w:ind w:left="0"/>
        <w:contextualSpacing/>
        <w:jc w:val="both"/>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70CB8" w:rsidRPr="00BD40C5" w:rsidTr="00B2035B">
        <w:tc>
          <w:tcPr>
            <w:tcW w:w="2840" w:type="dxa"/>
            <w:shd w:val="clear" w:color="auto" w:fill="auto"/>
            <w:vAlign w:val="center"/>
          </w:tcPr>
          <w:p w:rsidR="00170CB8" w:rsidRPr="00BD40C5" w:rsidRDefault="00170CB8" w:rsidP="00B2035B">
            <w:pPr>
              <w:pStyle w:val="ListParagraph"/>
              <w:spacing w:after="0" w:line="240" w:lineRule="auto"/>
              <w:ind w:left="0"/>
              <w:contextualSpacing/>
              <w:jc w:val="center"/>
              <w:rPr>
                <w:rFonts w:ascii="Arial" w:hAnsi="Arial" w:cs="Arial"/>
                <w:sz w:val="16"/>
                <w:szCs w:val="16"/>
              </w:rPr>
            </w:pPr>
            <w:r w:rsidRPr="00BD40C5">
              <w:rPr>
                <w:rFonts w:ascii="Arial" w:hAnsi="Arial" w:cs="Arial"/>
                <w:sz w:val="16"/>
                <w:szCs w:val="16"/>
              </w:rPr>
              <w:t>Month</w:t>
            </w:r>
          </w:p>
        </w:tc>
        <w:tc>
          <w:tcPr>
            <w:tcW w:w="2841" w:type="dxa"/>
            <w:shd w:val="clear" w:color="auto" w:fill="auto"/>
            <w:vAlign w:val="center"/>
          </w:tcPr>
          <w:p w:rsidR="00170CB8" w:rsidRPr="00BD40C5" w:rsidRDefault="00170CB8" w:rsidP="00B2035B">
            <w:pPr>
              <w:pStyle w:val="ListParagraph"/>
              <w:spacing w:after="0" w:line="240" w:lineRule="auto"/>
              <w:ind w:left="0"/>
              <w:contextualSpacing/>
              <w:jc w:val="center"/>
              <w:rPr>
                <w:rFonts w:ascii="Arial" w:hAnsi="Arial" w:cs="Arial"/>
                <w:sz w:val="16"/>
                <w:szCs w:val="16"/>
              </w:rPr>
            </w:pPr>
            <w:r w:rsidRPr="00BD40C5">
              <w:rPr>
                <w:rFonts w:ascii="Arial" w:hAnsi="Arial" w:cs="Arial"/>
                <w:sz w:val="16"/>
                <w:szCs w:val="16"/>
              </w:rPr>
              <w:t>Total number of exception reports raised</w:t>
            </w:r>
          </w:p>
        </w:tc>
        <w:tc>
          <w:tcPr>
            <w:tcW w:w="2841" w:type="dxa"/>
            <w:shd w:val="clear" w:color="auto" w:fill="auto"/>
            <w:vAlign w:val="center"/>
          </w:tcPr>
          <w:p w:rsidR="00170CB8" w:rsidRPr="00BD40C5" w:rsidRDefault="00170CB8" w:rsidP="00B2035B">
            <w:pPr>
              <w:pStyle w:val="ListParagraph"/>
              <w:spacing w:after="0" w:line="240" w:lineRule="auto"/>
              <w:ind w:left="0"/>
              <w:contextualSpacing/>
              <w:jc w:val="center"/>
              <w:rPr>
                <w:rFonts w:ascii="Arial" w:hAnsi="Arial" w:cs="Arial"/>
                <w:sz w:val="16"/>
                <w:szCs w:val="16"/>
              </w:rPr>
            </w:pPr>
            <w:r w:rsidRPr="00BD40C5">
              <w:rPr>
                <w:rFonts w:ascii="Arial" w:hAnsi="Arial" w:cs="Arial"/>
                <w:sz w:val="16"/>
                <w:szCs w:val="16"/>
              </w:rPr>
              <w:t>Total number of exception reports closed</w:t>
            </w:r>
            <w:r w:rsidR="00DE6855">
              <w:rPr>
                <w:rFonts w:ascii="Arial" w:hAnsi="Arial" w:cs="Arial"/>
                <w:sz w:val="16"/>
                <w:szCs w:val="16"/>
              </w:rPr>
              <w:t xml:space="preserve"> at time of report</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August 2017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67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67</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September 2017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87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80</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October 2017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55</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53</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November 2017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60</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60</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December 2017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37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37</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January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55</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53</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February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37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37</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March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27</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21</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April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23</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22</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May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21</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21</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June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24</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24</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July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11</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9</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August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59</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48</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September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60</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39</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October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60</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sidRPr="00BD40C5">
              <w:rPr>
                <w:rFonts w:ascii="Arial" w:eastAsia="Times New Roman" w:hAnsi="Arial" w:cs="Arial"/>
                <w:color w:val="000000"/>
                <w:sz w:val="16"/>
                <w:szCs w:val="16"/>
                <w:lang w:eastAsia="en-GB"/>
              </w:rPr>
              <w:t>49</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November 2018</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36</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35</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December 2019</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23</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January  2019</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72</w:t>
            </w:r>
          </w:p>
        </w:tc>
        <w:tc>
          <w:tcPr>
            <w:tcW w:w="2841" w:type="dxa"/>
            <w:shd w:val="clear" w:color="auto" w:fill="auto"/>
            <w:vAlign w:val="center"/>
          </w:tcPr>
          <w:p w:rsidR="00170CB8" w:rsidRPr="00BD40C5"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64</w:t>
            </w:r>
          </w:p>
        </w:tc>
      </w:tr>
      <w:tr w:rsidR="00170CB8" w:rsidRPr="00BD40C5" w:rsidTr="00B2035B">
        <w:tc>
          <w:tcPr>
            <w:tcW w:w="2840" w:type="dxa"/>
            <w:shd w:val="clear" w:color="auto" w:fill="auto"/>
            <w:vAlign w:val="center"/>
          </w:tcPr>
          <w:p w:rsidR="00170CB8" w:rsidRDefault="00170CB8"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February 2019</w:t>
            </w:r>
          </w:p>
        </w:tc>
        <w:tc>
          <w:tcPr>
            <w:tcW w:w="2841" w:type="dxa"/>
            <w:shd w:val="clear" w:color="auto" w:fill="auto"/>
            <w:vAlign w:val="center"/>
          </w:tcPr>
          <w:p w:rsidR="00170CB8"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45</w:t>
            </w:r>
          </w:p>
        </w:tc>
        <w:tc>
          <w:tcPr>
            <w:tcW w:w="2841" w:type="dxa"/>
            <w:shd w:val="clear" w:color="auto" w:fill="auto"/>
            <w:vAlign w:val="center"/>
          </w:tcPr>
          <w:p w:rsidR="00170CB8"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36</w:t>
            </w:r>
          </w:p>
        </w:tc>
      </w:tr>
      <w:tr w:rsidR="00170CB8" w:rsidRPr="00BD40C5" w:rsidTr="00B2035B">
        <w:tc>
          <w:tcPr>
            <w:tcW w:w="2840" w:type="dxa"/>
            <w:shd w:val="clear" w:color="auto" w:fill="auto"/>
            <w:vAlign w:val="center"/>
          </w:tcPr>
          <w:p w:rsidR="00170CB8" w:rsidRDefault="00170CB8"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March 2019</w:t>
            </w:r>
          </w:p>
        </w:tc>
        <w:tc>
          <w:tcPr>
            <w:tcW w:w="2841" w:type="dxa"/>
            <w:shd w:val="clear" w:color="auto" w:fill="auto"/>
            <w:vAlign w:val="center"/>
          </w:tcPr>
          <w:p w:rsidR="00170CB8"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45</w:t>
            </w:r>
          </w:p>
        </w:tc>
        <w:tc>
          <w:tcPr>
            <w:tcW w:w="2841" w:type="dxa"/>
            <w:shd w:val="clear" w:color="auto" w:fill="auto"/>
            <w:vAlign w:val="center"/>
          </w:tcPr>
          <w:p w:rsidR="00170CB8"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35</w:t>
            </w:r>
          </w:p>
        </w:tc>
      </w:tr>
      <w:tr w:rsidR="00170CB8" w:rsidRPr="00BD40C5" w:rsidTr="00B2035B">
        <w:tc>
          <w:tcPr>
            <w:tcW w:w="2840" w:type="dxa"/>
            <w:shd w:val="clear" w:color="auto" w:fill="auto"/>
            <w:vAlign w:val="center"/>
          </w:tcPr>
          <w:p w:rsidR="00170CB8" w:rsidRDefault="00170CB8"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April 2019</w:t>
            </w:r>
          </w:p>
        </w:tc>
        <w:tc>
          <w:tcPr>
            <w:tcW w:w="2841" w:type="dxa"/>
            <w:shd w:val="clear" w:color="auto" w:fill="auto"/>
            <w:vAlign w:val="center"/>
          </w:tcPr>
          <w:p w:rsidR="00170CB8"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27</w:t>
            </w:r>
          </w:p>
        </w:tc>
        <w:tc>
          <w:tcPr>
            <w:tcW w:w="2841" w:type="dxa"/>
            <w:shd w:val="clear" w:color="auto" w:fill="auto"/>
            <w:vAlign w:val="center"/>
          </w:tcPr>
          <w:p w:rsidR="00170CB8" w:rsidRDefault="00170CB8"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r>
      <w:tr w:rsidR="00170CB8" w:rsidRPr="00BD40C5" w:rsidTr="00DE6855">
        <w:tc>
          <w:tcPr>
            <w:tcW w:w="2840" w:type="dxa"/>
            <w:shd w:val="clear" w:color="auto" w:fill="FFFFFF" w:themeFill="background1"/>
            <w:vAlign w:val="center"/>
          </w:tcPr>
          <w:p w:rsidR="00170CB8" w:rsidRPr="006B136E" w:rsidRDefault="00170CB8" w:rsidP="00B2035B">
            <w:pPr>
              <w:spacing w:after="0" w:line="240" w:lineRule="auto"/>
              <w:rPr>
                <w:rFonts w:ascii="Arial" w:eastAsia="Times New Roman" w:hAnsi="Arial" w:cs="Arial"/>
                <w:color w:val="000000"/>
                <w:sz w:val="16"/>
                <w:szCs w:val="16"/>
                <w:lang w:eastAsia="en-GB"/>
              </w:rPr>
            </w:pPr>
            <w:r w:rsidRPr="006B136E">
              <w:rPr>
                <w:rFonts w:ascii="Arial" w:eastAsia="Times New Roman" w:hAnsi="Arial" w:cs="Arial"/>
                <w:color w:val="000000"/>
                <w:sz w:val="16"/>
                <w:szCs w:val="16"/>
                <w:lang w:eastAsia="en-GB"/>
              </w:rPr>
              <w:t>May 2019</w:t>
            </w:r>
          </w:p>
        </w:tc>
        <w:tc>
          <w:tcPr>
            <w:tcW w:w="2841" w:type="dxa"/>
            <w:shd w:val="clear" w:color="auto" w:fill="FFFFFF" w:themeFill="background1"/>
            <w:vAlign w:val="center"/>
          </w:tcPr>
          <w:p w:rsidR="00170CB8" w:rsidRPr="006B136E" w:rsidRDefault="00170CB8" w:rsidP="00B2035B">
            <w:pPr>
              <w:spacing w:after="0" w:line="240" w:lineRule="auto"/>
              <w:jc w:val="center"/>
              <w:rPr>
                <w:rFonts w:ascii="Arial" w:eastAsia="Times New Roman" w:hAnsi="Arial" w:cs="Arial"/>
                <w:color w:val="000000"/>
                <w:sz w:val="16"/>
                <w:szCs w:val="16"/>
                <w:lang w:eastAsia="en-GB"/>
              </w:rPr>
            </w:pPr>
            <w:r w:rsidRPr="006B136E">
              <w:rPr>
                <w:rFonts w:ascii="Arial" w:eastAsia="Times New Roman" w:hAnsi="Arial" w:cs="Arial"/>
                <w:color w:val="000000"/>
                <w:sz w:val="16"/>
                <w:szCs w:val="16"/>
                <w:lang w:eastAsia="en-GB"/>
              </w:rPr>
              <w:t>67</w:t>
            </w:r>
          </w:p>
        </w:tc>
        <w:tc>
          <w:tcPr>
            <w:tcW w:w="2841" w:type="dxa"/>
            <w:shd w:val="clear" w:color="auto" w:fill="FFFFFF" w:themeFill="background1"/>
            <w:vAlign w:val="center"/>
          </w:tcPr>
          <w:p w:rsidR="00170CB8" w:rsidRPr="006B136E" w:rsidRDefault="00170CB8" w:rsidP="00B2035B">
            <w:pPr>
              <w:spacing w:after="0" w:line="240" w:lineRule="auto"/>
              <w:jc w:val="center"/>
              <w:rPr>
                <w:rFonts w:ascii="Arial" w:eastAsia="Times New Roman" w:hAnsi="Arial" w:cs="Arial"/>
                <w:color w:val="000000"/>
                <w:sz w:val="16"/>
                <w:szCs w:val="16"/>
                <w:lang w:eastAsia="en-GB"/>
              </w:rPr>
            </w:pPr>
            <w:r w:rsidRPr="006B136E">
              <w:rPr>
                <w:rFonts w:ascii="Arial" w:eastAsia="Times New Roman" w:hAnsi="Arial" w:cs="Arial"/>
                <w:color w:val="000000"/>
                <w:sz w:val="16"/>
                <w:szCs w:val="16"/>
                <w:lang w:eastAsia="en-GB"/>
              </w:rPr>
              <w:t>52</w:t>
            </w:r>
          </w:p>
        </w:tc>
      </w:tr>
      <w:tr w:rsidR="00170CB8" w:rsidRPr="00BD40C5" w:rsidTr="00DE6855">
        <w:tc>
          <w:tcPr>
            <w:tcW w:w="2840" w:type="dxa"/>
            <w:shd w:val="clear" w:color="auto" w:fill="FFFFFF" w:themeFill="background1"/>
            <w:vAlign w:val="center"/>
          </w:tcPr>
          <w:p w:rsidR="00170CB8" w:rsidRPr="006B136E" w:rsidRDefault="00170CB8" w:rsidP="00B2035B">
            <w:pPr>
              <w:spacing w:after="0" w:line="240" w:lineRule="auto"/>
              <w:rPr>
                <w:rFonts w:ascii="Arial" w:eastAsia="Times New Roman" w:hAnsi="Arial" w:cs="Arial"/>
                <w:color w:val="000000"/>
                <w:sz w:val="16"/>
                <w:szCs w:val="16"/>
                <w:lang w:eastAsia="en-GB"/>
              </w:rPr>
            </w:pPr>
            <w:r w:rsidRPr="006B136E">
              <w:rPr>
                <w:rFonts w:ascii="Arial" w:eastAsia="Times New Roman" w:hAnsi="Arial" w:cs="Arial"/>
                <w:color w:val="000000"/>
                <w:sz w:val="16"/>
                <w:szCs w:val="16"/>
                <w:lang w:eastAsia="en-GB"/>
              </w:rPr>
              <w:t>June 2019</w:t>
            </w:r>
          </w:p>
        </w:tc>
        <w:tc>
          <w:tcPr>
            <w:tcW w:w="2841" w:type="dxa"/>
            <w:shd w:val="clear" w:color="auto" w:fill="FFFFFF" w:themeFill="background1"/>
            <w:vAlign w:val="center"/>
          </w:tcPr>
          <w:p w:rsidR="00170CB8" w:rsidRPr="006B136E" w:rsidRDefault="00170CB8" w:rsidP="00B2035B">
            <w:pPr>
              <w:spacing w:after="0" w:line="240" w:lineRule="auto"/>
              <w:jc w:val="center"/>
              <w:rPr>
                <w:rFonts w:ascii="Arial" w:eastAsia="Times New Roman" w:hAnsi="Arial" w:cs="Arial"/>
                <w:color w:val="000000"/>
                <w:sz w:val="16"/>
                <w:szCs w:val="16"/>
                <w:lang w:eastAsia="en-GB"/>
              </w:rPr>
            </w:pPr>
            <w:r w:rsidRPr="006B136E">
              <w:rPr>
                <w:rFonts w:ascii="Arial" w:eastAsia="Times New Roman" w:hAnsi="Arial" w:cs="Arial"/>
                <w:color w:val="000000"/>
                <w:sz w:val="16"/>
                <w:szCs w:val="16"/>
                <w:lang w:eastAsia="en-GB"/>
              </w:rPr>
              <w:t>35</w:t>
            </w:r>
          </w:p>
        </w:tc>
        <w:tc>
          <w:tcPr>
            <w:tcW w:w="2841" w:type="dxa"/>
            <w:shd w:val="clear" w:color="auto" w:fill="FFFFFF" w:themeFill="background1"/>
            <w:vAlign w:val="center"/>
          </w:tcPr>
          <w:p w:rsidR="00170CB8" w:rsidRPr="006B136E" w:rsidRDefault="00170CB8" w:rsidP="00B2035B">
            <w:pPr>
              <w:spacing w:after="0" w:line="240" w:lineRule="auto"/>
              <w:jc w:val="center"/>
              <w:rPr>
                <w:rFonts w:ascii="Arial" w:eastAsia="Times New Roman" w:hAnsi="Arial" w:cs="Arial"/>
                <w:color w:val="000000"/>
                <w:sz w:val="16"/>
                <w:szCs w:val="16"/>
                <w:lang w:eastAsia="en-GB"/>
              </w:rPr>
            </w:pPr>
            <w:r w:rsidRPr="006B136E">
              <w:rPr>
                <w:rFonts w:ascii="Arial" w:eastAsia="Times New Roman" w:hAnsi="Arial" w:cs="Arial"/>
                <w:color w:val="000000"/>
                <w:sz w:val="16"/>
                <w:szCs w:val="16"/>
                <w:lang w:eastAsia="en-GB"/>
              </w:rPr>
              <w:t>31</w:t>
            </w:r>
          </w:p>
        </w:tc>
      </w:tr>
      <w:tr w:rsidR="00DE6855" w:rsidRPr="00BD40C5" w:rsidTr="00DE6855">
        <w:tc>
          <w:tcPr>
            <w:tcW w:w="2840" w:type="dxa"/>
            <w:shd w:val="clear" w:color="auto" w:fill="FFFF00"/>
            <w:vAlign w:val="center"/>
          </w:tcPr>
          <w:p w:rsidR="00DE6855" w:rsidRPr="006B136E" w:rsidRDefault="00DE6855"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July 2019</w:t>
            </w:r>
          </w:p>
        </w:tc>
        <w:tc>
          <w:tcPr>
            <w:tcW w:w="2841" w:type="dxa"/>
            <w:shd w:val="clear" w:color="auto" w:fill="FFFF00"/>
            <w:vAlign w:val="center"/>
          </w:tcPr>
          <w:p w:rsidR="00DE6855" w:rsidRPr="006B136E" w:rsidRDefault="00DE6855"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49</w:t>
            </w:r>
          </w:p>
        </w:tc>
        <w:tc>
          <w:tcPr>
            <w:tcW w:w="2841" w:type="dxa"/>
            <w:shd w:val="clear" w:color="auto" w:fill="FFFF00"/>
            <w:vAlign w:val="center"/>
          </w:tcPr>
          <w:p w:rsidR="00DE6855" w:rsidRPr="006B136E" w:rsidRDefault="002841C6"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46</w:t>
            </w:r>
          </w:p>
        </w:tc>
      </w:tr>
      <w:tr w:rsidR="00DE6855" w:rsidRPr="00BD40C5" w:rsidTr="00DE6855">
        <w:tc>
          <w:tcPr>
            <w:tcW w:w="2840" w:type="dxa"/>
            <w:shd w:val="clear" w:color="auto" w:fill="FFFF00"/>
            <w:vAlign w:val="center"/>
          </w:tcPr>
          <w:p w:rsidR="00DE6855" w:rsidRPr="006B136E" w:rsidRDefault="00DE6855"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August 2019</w:t>
            </w:r>
          </w:p>
        </w:tc>
        <w:tc>
          <w:tcPr>
            <w:tcW w:w="2841" w:type="dxa"/>
            <w:shd w:val="clear" w:color="auto" w:fill="FFFF00"/>
            <w:vAlign w:val="center"/>
          </w:tcPr>
          <w:p w:rsidR="00DE6855" w:rsidRPr="006B136E" w:rsidRDefault="00DE6855"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62</w:t>
            </w:r>
          </w:p>
        </w:tc>
        <w:tc>
          <w:tcPr>
            <w:tcW w:w="2841" w:type="dxa"/>
            <w:shd w:val="clear" w:color="auto" w:fill="FFFF00"/>
            <w:vAlign w:val="center"/>
          </w:tcPr>
          <w:p w:rsidR="00DE6855" w:rsidRPr="006B136E" w:rsidRDefault="002841C6"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45</w:t>
            </w:r>
          </w:p>
        </w:tc>
      </w:tr>
      <w:tr w:rsidR="00DE6855" w:rsidRPr="00BD40C5" w:rsidTr="00DE6855">
        <w:tc>
          <w:tcPr>
            <w:tcW w:w="2840" w:type="dxa"/>
            <w:shd w:val="clear" w:color="auto" w:fill="FFFF00"/>
            <w:vAlign w:val="center"/>
          </w:tcPr>
          <w:p w:rsidR="00DE6855" w:rsidRPr="006B136E" w:rsidRDefault="00DE6855" w:rsidP="00B2035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September 2019</w:t>
            </w:r>
          </w:p>
        </w:tc>
        <w:tc>
          <w:tcPr>
            <w:tcW w:w="2841" w:type="dxa"/>
            <w:shd w:val="clear" w:color="auto" w:fill="FFFF00"/>
            <w:vAlign w:val="center"/>
          </w:tcPr>
          <w:p w:rsidR="00DE6855" w:rsidRPr="006B136E" w:rsidRDefault="00DE6855"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91</w:t>
            </w:r>
          </w:p>
        </w:tc>
        <w:tc>
          <w:tcPr>
            <w:tcW w:w="2841" w:type="dxa"/>
            <w:shd w:val="clear" w:color="auto" w:fill="FFFF00"/>
            <w:vAlign w:val="center"/>
          </w:tcPr>
          <w:p w:rsidR="00DE6855" w:rsidRPr="006B136E" w:rsidRDefault="002841C6" w:rsidP="00B2035B">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77</w:t>
            </w:r>
          </w:p>
        </w:tc>
      </w:tr>
      <w:tr w:rsidR="00170CB8" w:rsidRPr="00BD40C5" w:rsidTr="00B2035B">
        <w:tc>
          <w:tcPr>
            <w:tcW w:w="2840" w:type="dxa"/>
            <w:shd w:val="clear" w:color="auto" w:fill="auto"/>
            <w:vAlign w:val="center"/>
          </w:tcPr>
          <w:p w:rsidR="00170CB8" w:rsidRPr="00BD40C5" w:rsidRDefault="00170CB8" w:rsidP="00B2035B">
            <w:pPr>
              <w:spacing w:after="0" w:line="240" w:lineRule="auto"/>
              <w:rPr>
                <w:rFonts w:ascii="Arial" w:eastAsia="Times New Roman" w:hAnsi="Arial" w:cs="Arial"/>
                <w:b/>
                <w:bCs/>
                <w:color w:val="000000"/>
                <w:sz w:val="16"/>
                <w:szCs w:val="16"/>
                <w:lang w:eastAsia="en-GB"/>
              </w:rPr>
            </w:pPr>
            <w:r w:rsidRPr="00BD40C5">
              <w:rPr>
                <w:rFonts w:ascii="Arial" w:eastAsia="Times New Roman" w:hAnsi="Arial" w:cs="Arial"/>
                <w:b/>
                <w:bCs/>
                <w:color w:val="000000"/>
                <w:sz w:val="16"/>
                <w:szCs w:val="16"/>
                <w:lang w:eastAsia="en-GB"/>
              </w:rPr>
              <w:t>Total</w:t>
            </w:r>
          </w:p>
        </w:tc>
        <w:tc>
          <w:tcPr>
            <w:tcW w:w="2841" w:type="dxa"/>
            <w:shd w:val="clear" w:color="auto" w:fill="auto"/>
            <w:vAlign w:val="center"/>
          </w:tcPr>
          <w:p w:rsidR="00170CB8" w:rsidRPr="00BD40C5" w:rsidRDefault="00C11654" w:rsidP="00B2035B">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1235</w:t>
            </w:r>
          </w:p>
        </w:tc>
        <w:tc>
          <w:tcPr>
            <w:tcW w:w="2841" w:type="dxa"/>
            <w:shd w:val="clear" w:color="auto" w:fill="auto"/>
            <w:vAlign w:val="center"/>
          </w:tcPr>
          <w:p w:rsidR="00170CB8" w:rsidRDefault="00170CB8" w:rsidP="00B2035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                           -</w:t>
            </w:r>
          </w:p>
          <w:p w:rsidR="00170CB8" w:rsidRPr="00BD40C5" w:rsidRDefault="00170CB8" w:rsidP="00B2035B">
            <w:pPr>
              <w:spacing w:after="0" w:line="240" w:lineRule="auto"/>
              <w:rPr>
                <w:rFonts w:ascii="Arial" w:eastAsia="Times New Roman" w:hAnsi="Arial" w:cs="Arial"/>
                <w:b/>
                <w:bCs/>
                <w:color w:val="000000"/>
                <w:sz w:val="16"/>
                <w:szCs w:val="16"/>
                <w:lang w:eastAsia="en-GB"/>
              </w:rPr>
            </w:pPr>
          </w:p>
        </w:tc>
      </w:tr>
    </w:tbl>
    <w:p w:rsidR="00170CB8" w:rsidRPr="00577A30" w:rsidRDefault="00170CB8" w:rsidP="00170CB8">
      <w:pPr>
        <w:pStyle w:val="ListParagraph"/>
        <w:spacing w:after="0" w:line="240" w:lineRule="auto"/>
        <w:ind w:left="0"/>
        <w:contextualSpacing/>
        <w:jc w:val="both"/>
        <w:rPr>
          <w:rFonts w:ascii="Arial" w:hAnsi="Arial" w:cs="Arial"/>
          <w:sz w:val="21"/>
          <w:szCs w:val="21"/>
        </w:rPr>
      </w:pPr>
    </w:p>
    <w:p w:rsidR="002841C6" w:rsidRDefault="002841C6" w:rsidP="00170CB8">
      <w:pPr>
        <w:pStyle w:val="ListParagraph"/>
        <w:spacing w:after="0" w:line="240" w:lineRule="auto"/>
        <w:ind w:left="0"/>
        <w:contextualSpacing/>
        <w:jc w:val="both"/>
        <w:rPr>
          <w:rFonts w:ascii="Arial" w:hAnsi="Arial" w:cs="Arial"/>
          <w:b/>
          <w:sz w:val="16"/>
          <w:szCs w:val="16"/>
        </w:rPr>
      </w:pPr>
    </w:p>
    <w:p w:rsidR="00170CB8" w:rsidRDefault="00170CB8" w:rsidP="00170CB8">
      <w:pPr>
        <w:pStyle w:val="ListParagraph"/>
        <w:spacing w:after="0" w:line="240" w:lineRule="auto"/>
        <w:ind w:left="0"/>
        <w:contextualSpacing/>
        <w:jc w:val="both"/>
        <w:rPr>
          <w:rFonts w:ascii="Arial" w:hAnsi="Arial" w:cs="Arial"/>
          <w:b/>
          <w:sz w:val="16"/>
          <w:szCs w:val="16"/>
        </w:rPr>
      </w:pPr>
      <w:r w:rsidRPr="00577A30">
        <w:rPr>
          <w:rFonts w:ascii="Arial" w:hAnsi="Arial" w:cs="Arial"/>
          <w:b/>
          <w:sz w:val="16"/>
          <w:szCs w:val="16"/>
        </w:rPr>
        <w:t>Graphical representation of exception reports submitted</w:t>
      </w:r>
      <w:r>
        <w:rPr>
          <w:rFonts w:ascii="Arial" w:hAnsi="Arial" w:cs="Arial"/>
          <w:b/>
          <w:sz w:val="16"/>
          <w:szCs w:val="16"/>
        </w:rPr>
        <w:t xml:space="preserve"> from </w:t>
      </w:r>
      <w:r w:rsidR="001916B6" w:rsidRPr="002841C6">
        <w:rPr>
          <w:rFonts w:ascii="Arial" w:hAnsi="Arial" w:cs="Arial"/>
          <w:b/>
          <w:sz w:val="16"/>
          <w:szCs w:val="16"/>
        </w:rPr>
        <w:t>July 2018</w:t>
      </w:r>
      <w:r w:rsidR="002841C6">
        <w:rPr>
          <w:rFonts w:ascii="Arial" w:hAnsi="Arial" w:cs="Arial"/>
          <w:b/>
          <w:sz w:val="16"/>
          <w:szCs w:val="16"/>
        </w:rPr>
        <w:t xml:space="preserve"> – September</w:t>
      </w:r>
      <w:r>
        <w:rPr>
          <w:rFonts w:ascii="Arial" w:hAnsi="Arial" w:cs="Arial"/>
          <w:b/>
          <w:sz w:val="16"/>
          <w:szCs w:val="16"/>
        </w:rPr>
        <w:t xml:space="preserve"> 2019</w:t>
      </w:r>
    </w:p>
    <w:p w:rsidR="00047BC2" w:rsidRDefault="00047BC2" w:rsidP="00170CB8">
      <w:pPr>
        <w:pStyle w:val="ListParagraph"/>
        <w:spacing w:after="0" w:line="240" w:lineRule="auto"/>
        <w:ind w:left="0"/>
        <w:contextualSpacing/>
        <w:jc w:val="both"/>
        <w:rPr>
          <w:rFonts w:ascii="Arial" w:hAnsi="Arial" w:cs="Arial"/>
          <w:b/>
          <w:sz w:val="16"/>
          <w:szCs w:val="16"/>
        </w:rPr>
      </w:pPr>
    </w:p>
    <w:p w:rsidR="00047BC2" w:rsidRDefault="00047BC2" w:rsidP="00170CB8">
      <w:pPr>
        <w:pStyle w:val="ListParagraph"/>
        <w:spacing w:after="0" w:line="240" w:lineRule="auto"/>
        <w:ind w:left="0"/>
        <w:contextualSpacing/>
        <w:jc w:val="both"/>
        <w:rPr>
          <w:rFonts w:ascii="Arial" w:hAnsi="Arial" w:cs="Arial"/>
          <w:b/>
          <w:sz w:val="16"/>
          <w:szCs w:val="16"/>
        </w:rPr>
      </w:pPr>
    </w:p>
    <w:p w:rsidR="00047BC2" w:rsidRDefault="00047BC2" w:rsidP="00170CB8">
      <w:pPr>
        <w:pStyle w:val="ListParagraph"/>
        <w:spacing w:after="0" w:line="240" w:lineRule="auto"/>
        <w:ind w:left="0"/>
        <w:contextualSpacing/>
        <w:jc w:val="both"/>
        <w:rPr>
          <w:rFonts w:ascii="Arial" w:hAnsi="Arial" w:cs="Arial"/>
          <w:b/>
          <w:sz w:val="16"/>
          <w:szCs w:val="16"/>
        </w:rPr>
      </w:pPr>
      <w:r>
        <w:rPr>
          <w:rFonts w:ascii="Arial" w:hAnsi="Arial" w:cs="Arial"/>
          <w:b/>
          <w:noProof/>
          <w:sz w:val="16"/>
          <w:szCs w:val="16"/>
          <w:lang w:eastAsia="en-GB"/>
        </w:rPr>
        <w:drawing>
          <wp:inline distT="0" distB="0" distL="0" distR="0">
            <wp:extent cx="5274310" cy="3076575"/>
            <wp:effectExtent l="0" t="0" r="2159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7BC2" w:rsidRDefault="00047BC2" w:rsidP="00170CB8">
      <w:pPr>
        <w:pStyle w:val="ListParagraph"/>
        <w:spacing w:after="0" w:line="240" w:lineRule="auto"/>
        <w:ind w:left="0"/>
        <w:contextualSpacing/>
        <w:jc w:val="both"/>
        <w:rPr>
          <w:rFonts w:ascii="Arial" w:hAnsi="Arial" w:cs="Arial"/>
          <w:b/>
          <w:sz w:val="16"/>
          <w:szCs w:val="16"/>
        </w:rPr>
      </w:pPr>
    </w:p>
    <w:p w:rsidR="00047BC2" w:rsidRDefault="00047BC2" w:rsidP="00170CB8">
      <w:pPr>
        <w:pStyle w:val="ListParagraph"/>
        <w:spacing w:after="0" w:line="240" w:lineRule="auto"/>
        <w:ind w:left="0"/>
        <w:contextualSpacing/>
        <w:jc w:val="both"/>
        <w:rPr>
          <w:rFonts w:ascii="Arial" w:hAnsi="Arial" w:cs="Arial"/>
          <w:b/>
          <w:sz w:val="16"/>
          <w:szCs w:val="16"/>
        </w:rPr>
      </w:pPr>
    </w:p>
    <w:p w:rsidR="00047BC2" w:rsidRDefault="00047BC2" w:rsidP="00170CB8">
      <w:pPr>
        <w:pStyle w:val="ListParagraph"/>
        <w:spacing w:after="0" w:line="240" w:lineRule="auto"/>
        <w:ind w:left="0"/>
        <w:contextualSpacing/>
        <w:jc w:val="both"/>
        <w:rPr>
          <w:rFonts w:ascii="Arial" w:hAnsi="Arial" w:cs="Arial"/>
          <w:b/>
          <w:sz w:val="16"/>
          <w:szCs w:val="16"/>
        </w:rPr>
      </w:pPr>
    </w:p>
    <w:p w:rsidR="00047BC2" w:rsidRDefault="00047BC2" w:rsidP="00170CB8">
      <w:pPr>
        <w:pStyle w:val="ListParagraph"/>
        <w:spacing w:after="0" w:line="240" w:lineRule="auto"/>
        <w:ind w:left="0"/>
        <w:contextualSpacing/>
        <w:jc w:val="both"/>
        <w:rPr>
          <w:rFonts w:ascii="Arial" w:hAnsi="Arial" w:cs="Arial"/>
          <w:b/>
          <w:sz w:val="16"/>
          <w:szCs w:val="16"/>
        </w:rPr>
      </w:pPr>
    </w:p>
    <w:p w:rsidR="00047BC2" w:rsidRDefault="00047BC2" w:rsidP="00170CB8">
      <w:pPr>
        <w:pStyle w:val="ListParagraph"/>
        <w:spacing w:after="0" w:line="240" w:lineRule="auto"/>
        <w:ind w:left="0"/>
        <w:contextualSpacing/>
        <w:jc w:val="both"/>
        <w:rPr>
          <w:rFonts w:ascii="Arial" w:hAnsi="Arial" w:cs="Arial"/>
          <w:b/>
          <w:sz w:val="16"/>
          <w:szCs w:val="16"/>
        </w:rPr>
      </w:pPr>
    </w:p>
    <w:p w:rsidR="001916B6" w:rsidRDefault="001916B6" w:rsidP="00170CB8">
      <w:pPr>
        <w:pStyle w:val="ListParagraph"/>
        <w:spacing w:after="0" w:line="240" w:lineRule="auto"/>
        <w:ind w:left="0"/>
        <w:contextualSpacing/>
        <w:jc w:val="both"/>
        <w:rPr>
          <w:rFonts w:ascii="Arial" w:hAnsi="Arial" w:cs="Arial"/>
          <w:b/>
          <w:noProof/>
          <w:sz w:val="16"/>
          <w:szCs w:val="16"/>
          <w:lang w:eastAsia="en-GB"/>
        </w:rPr>
      </w:pPr>
    </w:p>
    <w:p w:rsidR="00577A30" w:rsidRDefault="00577A30" w:rsidP="002A4C73">
      <w:pPr>
        <w:pStyle w:val="ListParagraph"/>
        <w:spacing w:after="0" w:line="240" w:lineRule="auto"/>
        <w:ind w:left="0"/>
        <w:contextualSpacing/>
        <w:jc w:val="right"/>
        <w:rPr>
          <w:b/>
          <w:noProof/>
          <w:lang w:eastAsia="en-GB"/>
        </w:rPr>
      </w:pPr>
      <w:r>
        <w:rPr>
          <w:b/>
          <w:noProof/>
          <w:lang w:eastAsia="en-GB"/>
        </w:rPr>
        <w:lastRenderedPageBreak/>
        <w:t>Appendix 2</w:t>
      </w:r>
    </w:p>
    <w:p w:rsidR="00577A30" w:rsidRDefault="00577A30" w:rsidP="00577A30">
      <w:pPr>
        <w:pStyle w:val="ListParagraph"/>
        <w:spacing w:after="0" w:line="240" w:lineRule="auto"/>
        <w:ind w:left="0"/>
        <w:contextualSpacing/>
        <w:jc w:val="right"/>
        <w:rPr>
          <w:b/>
          <w:noProof/>
          <w:lang w:eastAsia="en-GB"/>
        </w:rPr>
      </w:pPr>
    </w:p>
    <w:p w:rsidR="00577A30" w:rsidRDefault="00577A30" w:rsidP="00577A30">
      <w:pPr>
        <w:pStyle w:val="ListParagraph"/>
        <w:spacing w:after="0" w:line="240" w:lineRule="auto"/>
        <w:ind w:left="0"/>
        <w:contextualSpacing/>
        <w:jc w:val="both"/>
        <w:rPr>
          <w:b/>
          <w:noProof/>
          <w:lang w:eastAsia="en-GB"/>
        </w:rPr>
      </w:pPr>
    </w:p>
    <w:p w:rsidR="00577A30" w:rsidRDefault="00577A30" w:rsidP="00577A30">
      <w:pPr>
        <w:pStyle w:val="ListParagraph"/>
        <w:spacing w:after="0" w:line="240" w:lineRule="auto"/>
        <w:ind w:left="0"/>
        <w:contextualSpacing/>
        <w:jc w:val="both"/>
        <w:rPr>
          <w:b/>
          <w:noProof/>
          <w:lang w:eastAsia="en-GB"/>
        </w:rPr>
      </w:pPr>
      <w:r>
        <w:rPr>
          <w:b/>
          <w:noProof/>
          <w:lang w:eastAsia="en-GB"/>
        </w:rPr>
        <w:t>Comparison of number of except</w:t>
      </w:r>
      <w:r w:rsidR="00740B98">
        <w:rPr>
          <w:b/>
          <w:noProof/>
          <w:lang w:eastAsia="en-GB"/>
        </w:rPr>
        <w:t>ion report</w:t>
      </w:r>
      <w:r w:rsidR="008651A4">
        <w:rPr>
          <w:b/>
          <w:noProof/>
          <w:lang w:eastAsia="en-GB"/>
        </w:rPr>
        <w:t>s submitted for July - September</w:t>
      </w:r>
      <w:r w:rsidR="00740B98">
        <w:rPr>
          <w:b/>
          <w:noProof/>
          <w:lang w:eastAsia="en-GB"/>
        </w:rPr>
        <w:t xml:space="preserve"> 2019</w:t>
      </w:r>
      <w:r w:rsidR="002841C6">
        <w:rPr>
          <w:b/>
          <w:noProof/>
          <w:lang w:eastAsia="en-GB"/>
        </w:rPr>
        <w:t xml:space="preserve"> against  the same period</w:t>
      </w:r>
      <w:r w:rsidR="008651A4">
        <w:rPr>
          <w:b/>
          <w:noProof/>
          <w:lang w:eastAsia="en-GB"/>
        </w:rPr>
        <w:t xml:space="preserve"> in </w:t>
      </w:r>
      <w:r w:rsidR="00740B98">
        <w:rPr>
          <w:b/>
          <w:noProof/>
          <w:lang w:eastAsia="en-GB"/>
        </w:rPr>
        <w:t>2018.</w:t>
      </w:r>
    </w:p>
    <w:p w:rsidR="00577A30" w:rsidRDefault="00577A30" w:rsidP="00577A30">
      <w:pPr>
        <w:pStyle w:val="ListParagraph"/>
        <w:spacing w:after="0" w:line="240" w:lineRule="auto"/>
        <w:ind w:left="0"/>
        <w:contextualSpacing/>
        <w:jc w:val="both"/>
        <w:rPr>
          <w:b/>
          <w:noProof/>
          <w:lang w:eastAsia="en-GB"/>
        </w:rPr>
      </w:pPr>
    </w:p>
    <w:p w:rsidR="00577A30" w:rsidRDefault="00577A30" w:rsidP="00577A30">
      <w:pPr>
        <w:pStyle w:val="ListParagraph"/>
        <w:spacing w:after="0" w:line="240" w:lineRule="auto"/>
        <w:ind w:left="0"/>
        <w:contextualSpacing/>
        <w:jc w:val="both"/>
        <w:rPr>
          <w:noProof/>
          <w:lang w:eastAsia="en-GB"/>
        </w:rPr>
      </w:pPr>
      <w:r>
        <w:rPr>
          <w:b/>
          <w:noProof/>
          <w:lang w:eastAsia="en-GB"/>
        </w:rPr>
        <w:t>Table 2</w:t>
      </w:r>
    </w:p>
    <w:p w:rsidR="00577A30" w:rsidRDefault="00577A30" w:rsidP="00577A30">
      <w:pPr>
        <w:pStyle w:val="ListParagraph"/>
        <w:spacing w:after="0" w:line="240" w:lineRule="auto"/>
        <w:ind w:left="0"/>
        <w:contextualSpacing/>
        <w:jc w:val="both"/>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47"/>
        <w:gridCol w:w="1048"/>
        <w:gridCol w:w="1048"/>
        <w:gridCol w:w="1048"/>
        <w:gridCol w:w="1048"/>
        <w:gridCol w:w="1048"/>
      </w:tblGrid>
      <w:tr w:rsidR="00F65BFC" w:rsidRPr="00BD40C5" w:rsidTr="00BD40C5">
        <w:tc>
          <w:tcPr>
            <w:tcW w:w="2235" w:type="dxa"/>
            <w:shd w:val="clear" w:color="auto" w:fill="auto"/>
            <w:vAlign w:val="center"/>
          </w:tcPr>
          <w:p w:rsidR="00577A30" w:rsidRPr="00BD40C5" w:rsidRDefault="00577A30" w:rsidP="00BD40C5">
            <w:pPr>
              <w:pStyle w:val="ListParagraph"/>
              <w:spacing w:before="60" w:after="60" w:line="240" w:lineRule="auto"/>
              <w:ind w:left="0"/>
              <w:contextualSpacing/>
              <w:jc w:val="center"/>
              <w:rPr>
                <w:rFonts w:ascii="Arial" w:hAnsi="Arial" w:cs="Arial"/>
                <w:b/>
                <w:noProof/>
                <w:sz w:val="16"/>
                <w:szCs w:val="16"/>
                <w:lang w:eastAsia="en-GB"/>
              </w:rPr>
            </w:pPr>
            <w:r w:rsidRPr="00BD40C5">
              <w:rPr>
                <w:rFonts w:ascii="Arial" w:hAnsi="Arial" w:cs="Arial"/>
                <w:b/>
                <w:noProof/>
                <w:sz w:val="16"/>
                <w:szCs w:val="16"/>
                <w:lang w:eastAsia="en-GB"/>
              </w:rPr>
              <w:t>Date</w:t>
            </w:r>
          </w:p>
        </w:tc>
        <w:tc>
          <w:tcPr>
            <w:tcW w:w="1047" w:type="dxa"/>
            <w:shd w:val="clear" w:color="auto" w:fill="548DD4"/>
            <w:vAlign w:val="center"/>
          </w:tcPr>
          <w:p w:rsidR="00577A30" w:rsidRPr="00BD40C5" w:rsidRDefault="008651A4"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 xml:space="preserve">July </w:t>
            </w:r>
            <w:r w:rsidR="00F21FEF">
              <w:rPr>
                <w:rFonts w:ascii="Arial" w:hAnsi="Arial" w:cs="Arial"/>
                <w:b/>
                <w:noProof/>
                <w:sz w:val="16"/>
                <w:szCs w:val="16"/>
                <w:lang w:eastAsia="en-GB"/>
              </w:rPr>
              <w:t>2</w:t>
            </w:r>
            <w:r w:rsidR="00A80AAE">
              <w:rPr>
                <w:rFonts w:ascii="Arial" w:hAnsi="Arial" w:cs="Arial"/>
                <w:b/>
                <w:noProof/>
                <w:sz w:val="16"/>
                <w:szCs w:val="16"/>
                <w:lang w:eastAsia="en-GB"/>
              </w:rPr>
              <w:t>0</w:t>
            </w:r>
            <w:r w:rsidR="00F21FEF">
              <w:rPr>
                <w:rFonts w:ascii="Arial" w:hAnsi="Arial" w:cs="Arial"/>
                <w:b/>
                <w:noProof/>
                <w:sz w:val="16"/>
                <w:szCs w:val="16"/>
                <w:lang w:eastAsia="en-GB"/>
              </w:rPr>
              <w:t>1</w:t>
            </w:r>
            <w:r w:rsidR="00A80AAE">
              <w:rPr>
                <w:rFonts w:ascii="Arial" w:hAnsi="Arial" w:cs="Arial"/>
                <w:b/>
                <w:noProof/>
                <w:sz w:val="16"/>
                <w:szCs w:val="16"/>
                <w:lang w:eastAsia="en-GB"/>
              </w:rPr>
              <w:t>8</w:t>
            </w:r>
          </w:p>
        </w:tc>
        <w:tc>
          <w:tcPr>
            <w:tcW w:w="1048" w:type="dxa"/>
            <w:shd w:val="clear" w:color="auto" w:fill="C2D69B"/>
            <w:vAlign w:val="center"/>
          </w:tcPr>
          <w:p w:rsidR="00577A30" w:rsidRPr="00BD40C5" w:rsidRDefault="008651A4"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 xml:space="preserve">July </w:t>
            </w:r>
            <w:r w:rsidR="00A80AAE">
              <w:rPr>
                <w:rFonts w:ascii="Arial" w:hAnsi="Arial" w:cs="Arial"/>
                <w:b/>
                <w:noProof/>
                <w:sz w:val="16"/>
                <w:szCs w:val="16"/>
                <w:lang w:eastAsia="en-GB"/>
              </w:rPr>
              <w:t xml:space="preserve">     2019</w:t>
            </w:r>
          </w:p>
        </w:tc>
        <w:tc>
          <w:tcPr>
            <w:tcW w:w="1048" w:type="dxa"/>
            <w:shd w:val="clear" w:color="auto" w:fill="548DD4"/>
            <w:vAlign w:val="center"/>
          </w:tcPr>
          <w:p w:rsidR="00577A30" w:rsidRPr="00BD40C5" w:rsidRDefault="008651A4"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 xml:space="preserve">August </w:t>
            </w:r>
            <w:r w:rsidR="00A80AAE">
              <w:rPr>
                <w:rFonts w:ascii="Arial" w:hAnsi="Arial" w:cs="Arial"/>
                <w:b/>
                <w:noProof/>
                <w:sz w:val="16"/>
                <w:szCs w:val="16"/>
                <w:lang w:eastAsia="en-GB"/>
              </w:rPr>
              <w:t xml:space="preserve">    2018</w:t>
            </w:r>
          </w:p>
        </w:tc>
        <w:tc>
          <w:tcPr>
            <w:tcW w:w="1048" w:type="dxa"/>
            <w:shd w:val="clear" w:color="auto" w:fill="C2D69B"/>
            <w:vAlign w:val="center"/>
          </w:tcPr>
          <w:p w:rsidR="00F65BFC" w:rsidRDefault="008651A4"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August</w:t>
            </w:r>
          </w:p>
          <w:p w:rsidR="00577A30" w:rsidRPr="00BD40C5" w:rsidRDefault="00A80AAE"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2019</w:t>
            </w:r>
          </w:p>
        </w:tc>
        <w:tc>
          <w:tcPr>
            <w:tcW w:w="1048" w:type="dxa"/>
            <w:shd w:val="clear" w:color="auto" w:fill="548DD4"/>
            <w:vAlign w:val="center"/>
          </w:tcPr>
          <w:p w:rsidR="00A80AAE" w:rsidRDefault="008651A4"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September</w:t>
            </w:r>
          </w:p>
          <w:p w:rsidR="00577A30" w:rsidRPr="00BD40C5" w:rsidRDefault="00F65BFC"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2018</w:t>
            </w:r>
          </w:p>
        </w:tc>
        <w:tc>
          <w:tcPr>
            <w:tcW w:w="1048" w:type="dxa"/>
            <w:shd w:val="clear" w:color="auto" w:fill="C2D69B"/>
            <w:vAlign w:val="center"/>
          </w:tcPr>
          <w:p w:rsidR="00A80AAE" w:rsidRDefault="008651A4"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September</w:t>
            </w:r>
            <w:r w:rsidR="00A80AAE">
              <w:rPr>
                <w:rFonts w:ascii="Arial" w:hAnsi="Arial" w:cs="Arial"/>
                <w:b/>
                <w:noProof/>
                <w:sz w:val="16"/>
                <w:szCs w:val="16"/>
                <w:lang w:eastAsia="en-GB"/>
              </w:rPr>
              <w:t xml:space="preserve"> </w:t>
            </w:r>
          </w:p>
          <w:p w:rsidR="00577A30" w:rsidRPr="00BD40C5" w:rsidRDefault="00F65BFC" w:rsidP="00BD40C5">
            <w:pPr>
              <w:pStyle w:val="ListParagraph"/>
              <w:spacing w:before="60" w:after="60" w:line="240" w:lineRule="auto"/>
              <w:ind w:left="0"/>
              <w:contextualSpacing/>
              <w:jc w:val="center"/>
              <w:rPr>
                <w:rFonts w:ascii="Arial" w:hAnsi="Arial" w:cs="Arial"/>
                <w:b/>
                <w:noProof/>
                <w:sz w:val="16"/>
                <w:szCs w:val="16"/>
                <w:lang w:eastAsia="en-GB"/>
              </w:rPr>
            </w:pPr>
            <w:r>
              <w:rPr>
                <w:rFonts w:ascii="Arial" w:hAnsi="Arial" w:cs="Arial"/>
                <w:b/>
                <w:noProof/>
                <w:sz w:val="16"/>
                <w:szCs w:val="16"/>
                <w:lang w:eastAsia="en-GB"/>
              </w:rPr>
              <w:t xml:space="preserve"> 2019</w:t>
            </w:r>
          </w:p>
        </w:tc>
      </w:tr>
      <w:tr w:rsidR="00F65BFC" w:rsidRPr="00BD40C5" w:rsidTr="00BD40C5">
        <w:tc>
          <w:tcPr>
            <w:tcW w:w="2235" w:type="dxa"/>
            <w:shd w:val="clear" w:color="auto" w:fill="auto"/>
          </w:tcPr>
          <w:p w:rsidR="00577A30" w:rsidRPr="00BD40C5" w:rsidRDefault="00577A30" w:rsidP="00BD40C5">
            <w:pPr>
              <w:pStyle w:val="ListParagraph"/>
              <w:spacing w:before="60" w:after="60" w:line="240" w:lineRule="auto"/>
              <w:ind w:left="0"/>
              <w:contextualSpacing/>
              <w:rPr>
                <w:rFonts w:ascii="Arial" w:hAnsi="Arial" w:cs="Arial"/>
                <w:b/>
                <w:noProof/>
                <w:sz w:val="16"/>
                <w:szCs w:val="16"/>
                <w:lang w:eastAsia="en-GB"/>
              </w:rPr>
            </w:pPr>
            <w:r w:rsidRPr="00BD40C5">
              <w:rPr>
                <w:rFonts w:ascii="Arial" w:hAnsi="Arial" w:cs="Arial"/>
                <w:b/>
                <w:noProof/>
                <w:sz w:val="16"/>
                <w:szCs w:val="16"/>
                <w:lang w:eastAsia="en-GB"/>
              </w:rPr>
              <w:t>Number of Exception Reports</w:t>
            </w:r>
          </w:p>
        </w:tc>
        <w:tc>
          <w:tcPr>
            <w:tcW w:w="1047" w:type="dxa"/>
            <w:shd w:val="clear" w:color="auto" w:fill="548DD4"/>
            <w:vAlign w:val="center"/>
          </w:tcPr>
          <w:p w:rsidR="00577A30" w:rsidRPr="00BD40C5" w:rsidRDefault="008651A4" w:rsidP="00BD40C5">
            <w:pPr>
              <w:pStyle w:val="ListParagraph"/>
              <w:spacing w:before="60" w:after="60" w:line="240" w:lineRule="auto"/>
              <w:ind w:left="0"/>
              <w:contextualSpacing/>
              <w:jc w:val="center"/>
              <w:rPr>
                <w:rFonts w:ascii="Arial" w:hAnsi="Arial" w:cs="Arial"/>
                <w:noProof/>
                <w:sz w:val="16"/>
                <w:szCs w:val="16"/>
                <w:lang w:eastAsia="en-GB"/>
              </w:rPr>
            </w:pPr>
            <w:r>
              <w:rPr>
                <w:rFonts w:ascii="Arial" w:hAnsi="Arial" w:cs="Arial"/>
                <w:noProof/>
                <w:sz w:val="16"/>
                <w:szCs w:val="16"/>
                <w:lang w:eastAsia="en-GB"/>
              </w:rPr>
              <w:t>11</w:t>
            </w:r>
          </w:p>
        </w:tc>
        <w:tc>
          <w:tcPr>
            <w:tcW w:w="1048" w:type="dxa"/>
            <w:shd w:val="clear" w:color="auto" w:fill="C2D69B"/>
            <w:vAlign w:val="center"/>
          </w:tcPr>
          <w:p w:rsidR="00577A30" w:rsidRPr="00483C61" w:rsidRDefault="00C11654" w:rsidP="00BD40C5">
            <w:pPr>
              <w:pStyle w:val="ListParagraph"/>
              <w:spacing w:before="60" w:after="60" w:line="240" w:lineRule="auto"/>
              <w:ind w:left="0"/>
              <w:contextualSpacing/>
              <w:jc w:val="center"/>
              <w:rPr>
                <w:rFonts w:ascii="Arial" w:hAnsi="Arial" w:cs="Arial"/>
                <w:noProof/>
                <w:sz w:val="16"/>
                <w:szCs w:val="16"/>
                <w:lang w:eastAsia="en-GB"/>
              </w:rPr>
            </w:pPr>
            <w:r>
              <w:rPr>
                <w:rFonts w:ascii="Arial" w:hAnsi="Arial" w:cs="Arial"/>
                <w:noProof/>
                <w:sz w:val="16"/>
                <w:szCs w:val="16"/>
                <w:lang w:eastAsia="en-GB"/>
              </w:rPr>
              <w:t>49</w:t>
            </w:r>
          </w:p>
        </w:tc>
        <w:tc>
          <w:tcPr>
            <w:tcW w:w="1048" w:type="dxa"/>
            <w:shd w:val="clear" w:color="auto" w:fill="548DD4"/>
            <w:vAlign w:val="center"/>
          </w:tcPr>
          <w:p w:rsidR="00577A30" w:rsidRPr="00483C61" w:rsidRDefault="008651A4" w:rsidP="00BD40C5">
            <w:pPr>
              <w:pStyle w:val="ListParagraph"/>
              <w:spacing w:before="60" w:after="60" w:line="240" w:lineRule="auto"/>
              <w:ind w:left="0"/>
              <w:contextualSpacing/>
              <w:jc w:val="center"/>
              <w:rPr>
                <w:rFonts w:ascii="Arial" w:hAnsi="Arial" w:cs="Arial"/>
                <w:noProof/>
                <w:sz w:val="16"/>
                <w:szCs w:val="16"/>
                <w:lang w:eastAsia="en-GB"/>
              </w:rPr>
            </w:pPr>
            <w:r>
              <w:rPr>
                <w:rFonts w:ascii="Arial" w:hAnsi="Arial" w:cs="Arial"/>
                <w:noProof/>
                <w:sz w:val="16"/>
                <w:szCs w:val="16"/>
                <w:lang w:eastAsia="en-GB"/>
              </w:rPr>
              <w:t>59</w:t>
            </w:r>
          </w:p>
        </w:tc>
        <w:tc>
          <w:tcPr>
            <w:tcW w:w="1048" w:type="dxa"/>
            <w:shd w:val="clear" w:color="auto" w:fill="C2D69B"/>
            <w:vAlign w:val="center"/>
          </w:tcPr>
          <w:p w:rsidR="00577A30" w:rsidRPr="00483C61" w:rsidRDefault="00C11654" w:rsidP="00BD40C5">
            <w:pPr>
              <w:pStyle w:val="ListParagraph"/>
              <w:spacing w:before="60" w:after="60" w:line="240" w:lineRule="auto"/>
              <w:ind w:left="0"/>
              <w:contextualSpacing/>
              <w:jc w:val="center"/>
              <w:rPr>
                <w:rFonts w:ascii="Arial" w:hAnsi="Arial" w:cs="Arial"/>
                <w:noProof/>
                <w:sz w:val="16"/>
                <w:szCs w:val="16"/>
                <w:lang w:eastAsia="en-GB"/>
              </w:rPr>
            </w:pPr>
            <w:r>
              <w:rPr>
                <w:rFonts w:ascii="Arial" w:hAnsi="Arial" w:cs="Arial"/>
                <w:noProof/>
                <w:sz w:val="16"/>
                <w:szCs w:val="16"/>
                <w:lang w:eastAsia="en-GB"/>
              </w:rPr>
              <w:t>62</w:t>
            </w:r>
          </w:p>
        </w:tc>
        <w:tc>
          <w:tcPr>
            <w:tcW w:w="1048" w:type="dxa"/>
            <w:shd w:val="clear" w:color="auto" w:fill="548DD4"/>
            <w:vAlign w:val="center"/>
          </w:tcPr>
          <w:p w:rsidR="00577A30" w:rsidRPr="00483C61" w:rsidRDefault="008651A4" w:rsidP="00BD40C5">
            <w:pPr>
              <w:pStyle w:val="ListParagraph"/>
              <w:spacing w:before="60" w:after="60" w:line="240" w:lineRule="auto"/>
              <w:ind w:left="0"/>
              <w:contextualSpacing/>
              <w:jc w:val="center"/>
              <w:rPr>
                <w:rFonts w:ascii="Arial" w:hAnsi="Arial" w:cs="Arial"/>
                <w:noProof/>
                <w:sz w:val="16"/>
                <w:szCs w:val="16"/>
                <w:lang w:eastAsia="en-GB"/>
              </w:rPr>
            </w:pPr>
            <w:r>
              <w:rPr>
                <w:rFonts w:ascii="Arial" w:hAnsi="Arial" w:cs="Arial"/>
                <w:noProof/>
                <w:sz w:val="16"/>
                <w:szCs w:val="16"/>
                <w:lang w:eastAsia="en-GB"/>
              </w:rPr>
              <w:t>60</w:t>
            </w:r>
          </w:p>
        </w:tc>
        <w:tc>
          <w:tcPr>
            <w:tcW w:w="1048" w:type="dxa"/>
            <w:shd w:val="clear" w:color="auto" w:fill="C2D69B"/>
            <w:vAlign w:val="center"/>
          </w:tcPr>
          <w:p w:rsidR="00577A30" w:rsidRPr="00BD40C5" w:rsidRDefault="008651A4" w:rsidP="00BD40C5">
            <w:pPr>
              <w:pStyle w:val="ListParagraph"/>
              <w:spacing w:before="60" w:after="60" w:line="240" w:lineRule="auto"/>
              <w:ind w:left="0"/>
              <w:contextualSpacing/>
              <w:jc w:val="center"/>
              <w:rPr>
                <w:rFonts w:ascii="Arial" w:hAnsi="Arial" w:cs="Arial"/>
                <w:noProof/>
                <w:sz w:val="16"/>
                <w:szCs w:val="16"/>
                <w:lang w:eastAsia="en-GB"/>
              </w:rPr>
            </w:pPr>
            <w:r>
              <w:rPr>
                <w:rFonts w:ascii="Arial" w:hAnsi="Arial" w:cs="Arial"/>
                <w:noProof/>
                <w:sz w:val="16"/>
                <w:szCs w:val="16"/>
                <w:lang w:eastAsia="en-GB"/>
              </w:rPr>
              <w:t>91</w:t>
            </w:r>
          </w:p>
        </w:tc>
      </w:tr>
    </w:tbl>
    <w:p w:rsidR="00577A30" w:rsidRDefault="00577A30" w:rsidP="00577A30">
      <w:pPr>
        <w:pStyle w:val="ListParagraph"/>
        <w:spacing w:after="0" w:line="240" w:lineRule="auto"/>
        <w:ind w:left="0"/>
        <w:contextualSpacing/>
        <w:jc w:val="both"/>
        <w:rPr>
          <w:noProof/>
          <w:lang w:eastAsia="en-GB"/>
        </w:rPr>
      </w:pPr>
    </w:p>
    <w:p w:rsidR="009A5DD9" w:rsidRDefault="009A5DD9" w:rsidP="00577A30">
      <w:pPr>
        <w:pStyle w:val="ListParagraph"/>
        <w:spacing w:after="0" w:line="240" w:lineRule="auto"/>
        <w:ind w:left="0"/>
        <w:contextualSpacing/>
        <w:jc w:val="both"/>
        <w:rPr>
          <w:noProof/>
          <w:lang w:eastAsia="en-GB"/>
        </w:rPr>
      </w:pPr>
    </w:p>
    <w:p w:rsidR="00525D7B" w:rsidRDefault="00525D7B" w:rsidP="00577A30">
      <w:pPr>
        <w:pStyle w:val="ListParagraph"/>
        <w:spacing w:after="0" w:line="240" w:lineRule="auto"/>
        <w:ind w:left="0"/>
        <w:contextualSpacing/>
        <w:jc w:val="both"/>
        <w:rPr>
          <w:noProof/>
          <w:lang w:eastAsia="en-GB"/>
        </w:rPr>
      </w:pPr>
      <w:r>
        <w:rPr>
          <w:noProof/>
          <w:lang w:eastAsia="en-GB"/>
        </w:rPr>
        <w:drawing>
          <wp:inline distT="0" distB="0" distL="0" distR="0">
            <wp:extent cx="5274310" cy="3076575"/>
            <wp:effectExtent l="0" t="0" r="2159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5D7B" w:rsidRDefault="00525D7B" w:rsidP="00577A30">
      <w:pPr>
        <w:pStyle w:val="ListParagraph"/>
        <w:spacing w:after="0" w:line="240" w:lineRule="auto"/>
        <w:ind w:left="0"/>
        <w:contextualSpacing/>
        <w:jc w:val="both"/>
        <w:rPr>
          <w:noProof/>
          <w:lang w:eastAsia="en-GB"/>
        </w:rPr>
      </w:pPr>
    </w:p>
    <w:p w:rsidR="0077565C" w:rsidRDefault="0077565C" w:rsidP="00577A30">
      <w:pPr>
        <w:pStyle w:val="ListParagraph"/>
        <w:spacing w:after="0" w:line="240" w:lineRule="auto"/>
        <w:ind w:left="0"/>
        <w:contextualSpacing/>
        <w:jc w:val="both"/>
        <w:rPr>
          <w:noProof/>
          <w:lang w:eastAsia="en-GB"/>
        </w:rPr>
      </w:pPr>
    </w:p>
    <w:p w:rsidR="000A0CB5" w:rsidRDefault="000A0CB5" w:rsidP="00577A30">
      <w:pPr>
        <w:pStyle w:val="ListParagraph"/>
        <w:spacing w:after="0" w:line="240" w:lineRule="auto"/>
        <w:ind w:left="0"/>
        <w:contextualSpacing/>
        <w:jc w:val="both"/>
        <w:rPr>
          <w:noProof/>
          <w:lang w:eastAsia="en-GB"/>
        </w:rPr>
      </w:pPr>
    </w:p>
    <w:p w:rsidR="000A0CB5" w:rsidRDefault="000A0CB5" w:rsidP="00577A30">
      <w:pPr>
        <w:pStyle w:val="ListParagraph"/>
        <w:spacing w:after="0" w:line="240" w:lineRule="auto"/>
        <w:ind w:left="0"/>
        <w:contextualSpacing/>
        <w:jc w:val="both"/>
        <w:rPr>
          <w:noProof/>
          <w:lang w:eastAsia="en-GB"/>
        </w:rPr>
      </w:pPr>
    </w:p>
    <w:p w:rsidR="00577A30" w:rsidRDefault="00577A30"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577A30">
      <w:pPr>
        <w:pStyle w:val="ListParagraph"/>
        <w:ind w:left="0"/>
        <w:contextualSpacing/>
        <w:jc w:val="both"/>
        <w:rPr>
          <w:rFonts w:ascii="Arial" w:hAnsi="Arial" w:cs="Arial"/>
          <w:i/>
          <w:sz w:val="16"/>
          <w:szCs w:val="16"/>
        </w:rPr>
      </w:pPr>
    </w:p>
    <w:p w:rsidR="00F113B7" w:rsidRDefault="00F113B7" w:rsidP="00F113B7">
      <w:pPr>
        <w:pStyle w:val="ListParagraph"/>
        <w:spacing w:after="0" w:line="240" w:lineRule="auto"/>
        <w:ind w:left="0"/>
        <w:contextualSpacing/>
        <w:jc w:val="right"/>
        <w:rPr>
          <w:rFonts w:ascii="Arial" w:hAnsi="Arial" w:cs="Arial"/>
          <w:b/>
          <w:sz w:val="21"/>
          <w:szCs w:val="21"/>
        </w:rPr>
      </w:pPr>
      <w:r>
        <w:rPr>
          <w:rFonts w:ascii="Arial" w:hAnsi="Arial" w:cs="Arial"/>
          <w:b/>
          <w:sz w:val="21"/>
          <w:szCs w:val="21"/>
        </w:rPr>
        <w:lastRenderedPageBreak/>
        <w:t>Appendix 3</w:t>
      </w:r>
    </w:p>
    <w:p w:rsidR="00F113B7" w:rsidRDefault="00F113B7" w:rsidP="00577A30">
      <w:pPr>
        <w:pStyle w:val="ListParagraph"/>
        <w:ind w:left="0"/>
        <w:contextualSpacing/>
        <w:jc w:val="both"/>
        <w:rPr>
          <w:rFonts w:ascii="Arial" w:hAnsi="Arial" w:cs="Arial"/>
          <w:i/>
          <w:sz w:val="16"/>
          <w:szCs w:val="16"/>
        </w:rPr>
      </w:pPr>
    </w:p>
    <w:p w:rsidR="009C6CBB" w:rsidRPr="009C6CBB" w:rsidRDefault="009C6CBB" w:rsidP="009C6CBB">
      <w:pPr>
        <w:autoSpaceDE w:val="0"/>
        <w:autoSpaceDN w:val="0"/>
        <w:adjustRightInd w:val="0"/>
        <w:spacing w:after="0" w:line="240" w:lineRule="auto"/>
        <w:rPr>
          <w:rFonts w:ascii="Arial" w:hAnsi="Arial" w:cs="Arial"/>
          <w:b/>
          <w:sz w:val="28"/>
          <w:szCs w:val="28"/>
        </w:rPr>
      </w:pPr>
      <w:r w:rsidRPr="009C6CBB">
        <w:rPr>
          <w:rFonts w:ascii="Arial" w:hAnsi="Arial" w:cs="Arial"/>
          <w:b/>
          <w:sz w:val="28"/>
          <w:szCs w:val="28"/>
        </w:rPr>
        <w:t>List of amendments to the 2016 contract</w:t>
      </w:r>
    </w:p>
    <w:p w:rsidR="009C6CBB" w:rsidRDefault="009C6CBB" w:rsidP="009C6CBB">
      <w:pPr>
        <w:autoSpaceDE w:val="0"/>
        <w:autoSpaceDN w:val="0"/>
        <w:adjustRightInd w:val="0"/>
        <w:spacing w:after="0" w:line="240" w:lineRule="auto"/>
        <w:rPr>
          <w:rFonts w:ascii="Arial" w:hAnsi="Arial" w:cs="Arial"/>
          <w:b/>
          <w:sz w:val="36"/>
          <w:szCs w:val="36"/>
          <w:u w:val="single"/>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Annual pay uplifts</w:t>
      </w:r>
    </w:p>
    <w:p w:rsidR="009C6CBB" w:rsidRPr="002D2AB1" w:rsidRDefault="009C6CBB" w:rsidP="009C6CBB">
      <w:pPr>
        <w:autoSpaceDE w:val="0"/>
        <w:autoSpaceDN w:val="0"/>
        <w:adjustRightInd w:val="0"/>
        <w:spacing w:after="0" w:line="240" w:lineRule="auto"/>
        <w:rPr>
          <w:rFonts w:ascii="Arial" w:hAnsi="Arial" w:cs="Arial"/>
          <w:b/>
          <w:sz w:val="36"/>
          <w:szCs w:val="36"/>
          <w:u w:val="single"/>
        </w:rPr>
      </w:pPr>
    </w:p>
    <w:p w:rsidR="009C6CBB" w:rsidRPr="009C6CBB" w:rsidRDefault="009C6CBB" w:rsidP="009C6CBB">
      <w:pPr>
        <w:autoSpaceDE w:val="0"/>
        <w:autoSpaceDN w:val="0"/>
        <w:adjustRightInd w:val="0"/>
        <w:spacing w:after="0" w:line="240" w:lineRule="auto"/>
        <w:rPr>
          <w:rFonts w:ascii="Arial" w:hAnsi="Arial" w:cs="Arial"/>
        </w:rPr>
      </w:pPr>
      <w:r w:rsidRPr="009C6CBB">
        <w:rPr>
          <w:rFonts w:ascii="Arial" w:hAnsi="Arial" w:cs="Arial"/>
        </w:rPr>
        <w:t>• Annual 2 per cent uplift applied during the period 2019/20 to 2022/23.  Back</w:t>
      </w:r>
      <w:r w:rsidR="00E739DC">
        <w:rPr>
          <w:rFonts w:ascii="Arial" w:hAnsi="Arial" w:cs="Arial"/>
        </w:rPr>
        <w:t xml:space="preserve"> </w:t>
      </w:r>
      <w:r w:rsidRPr="009C6CBB">
        <w:rPr>
          <w:rFonts w:ascii="Arial" w:hAnsi="Arial" w:cs="Arial"/>
        </w:rPr>
        <w:t>dated to 1 April in 2019/20.</w:t>
      </w:r>
    </w:p>
    <w:p w:rsidR="009C6CBB" w:rsidRPr="009C6CBB" w:rsidRDefault="009C6CBB" w:rsidP="009C6CBB">
      <w:pPr>
        <w:rPr>
          <w:rFonts w:ascii="Arial" w:hAnsi="Arial" w:cs="Arial"/>
        </w:rPr>
      </w:pPr>
      <w:r w:rsidRPr="009C6CBB">
        <w:rPr>
          <w:rFonts w:ascii="Arial" w:hAnsi="Arial" w:cs="Arial"/>
        </w:rPr>
        <w:t>• System updates will be available on ESR by September 2019.</w:t>
      </w: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Pay and transitional arrangements</w:t>
      </w:r>
    </w:p>
    <w:p w:rsidR="009C6CBB" w:rsidRPr="00485149" w:rsidRDefault="009C6CBB" w:rsidP="009C6CBB">
      <w:pPr>
        <w:autoSpaceDE w:val="0"/>
        <w:autoSpaceDN w:val="0"/>
        <w:adjustRightInd w:val="0"/>
        <w:spacing w:after="0" w:line="240" w:lineRule="auto"/>
        <w:rPr>
          <w:rFonts w:ascii="Arial" w:hAnsi="Arial" w:cs="Arial"/>
          <w:b/>
          <w:sz w:val="36"/>
          <w:szCs w:val="36"/>
          <w:u w:val="single"/>
        </w:rPr>
      </w:pPr>
    </w:p>
    <w:p w:rsidR="009C6CBB" w:rsidRPr="009C6CBB" w:rsidRDefault="009C6CBB" w:rsidP="009C6CBB">
      <w:pPr>
        <w:autoSpaceDE w:val="0"/>
        <w:autoSpaceDN w:val="0"/>
        <w:adjustRightInd w:val="0"/>
        <w:spacing w:after="0" w:line="240" w:lineRule="auto"/>
        <w:rPr>
          <w:rFonts w:ascii="Arial" w:hAnsi="Arial" w:cs="Arial"/>
        </w:rPr>
      </w:pPr>
      <w:r w:rsidRPr="009C6CBB">
        <w:rPr>
          <w:rFonts w:ascii="Arial" w:hAnsi="Arial" w:cs="Arial"/>
        </w:rPr>
        <w:t>• Under schedule 14 will have their pay protection extended until 2025.</w:t>
      </w:r>
    </w:p>
    <w:p w:rsidR="009C6CBB" w:rsidRPr="009C6CBB" w:rsidRDefault="009C6CBB" w:rsidP="009C6CBB">
      <w:pPr>
        <w:autoSpaceDE w:val="0"/>
        <w:autoSpaceDN w:val="0"/>
        <w:adjustRightInd w:val="0"/>
        <w:spacing w:after="0" w:line="240" w:lineRule="auto"/>
        <w:rPr>
          <w:rFonts w:ascii="Arial" w:hAnsi="Arial" w:cs="Arial"/>
        </w:rPr>
      </w:pPr>
      <w:proofErr w:type="gramStart"/>
      <w:r w:rsidRPr="009C6CBB">
        <w:rPr>
          <w:rFonts w:ascii="Arial" w:hAnsi="Arial" w:cs="Arial"/>
        </w:rPr>
        <w:t>•  Pay</w:t>
      </w:r>
      <w:proofErr w:type="gramEnd"/>
      <w:r w:rsidRPr="009C6CBB">
        <w:rPr>
          <w:rFonts w:ascii="Arial" w:hAnsi="Arial" w:cs="Arial"/>
        </w:rPr>
        <w:t xml:space="preserve"> protection for changing specialty clause is updated to reflect the agreed method of calculating pay protection for those moving into hard-to-fill</w:t>
      </w:r>
    </w:p>
    <w:p w:rsidR="009C6CBB" w:rsidRPr="009C6CBB" w:rsidRDefault="009C6CBB" w:rsidP="009C6CBB">
      <w:pPr>
        <w:autoSpaceDE w:val="0"/>
        <w:autoSpaceDN w:val="0"/>
        <w:adjustRightInd w:val="0"/>
        <w:spacing w:after="0" w:line="240" w:lineRule="auto"/>
        <w:rPr>
          <w:rFonts w:ascii="Arial" w:hAnsi="Arial" w:cs="Arial"/>
        </w:rPr>
      </w:pPr>
      <w:proofErr w:type="gramStart"/>
      <w:r w:rsidRPr="009C6CBB">
        <w:rPr>
          <w:rFonts w:ascii="Arial" w:hAnsi="Arial" w:cs="Arial"/>
        </w:rPr>
        <w:t>specialties</w:t>
      </w:r>
      <w:proofErr w:type="gramEnd"/>
      <w:r w:rsidRPr="009C6CBB">
        <w:rPr>
          <w:rFonts w:ascii="Arial" w:hAnsi="Arial" w:cs="Arial"/>
        </w:rPr>
        <w:t>.</w:t>
      </w:r>
    </w:p>
    <w:p w:rsidR="009C6CBB" w:rsidRDefault="009C6CBB" w:rsidP="009C6CBB">
      <w:pPr>
        <w:autoSpaceDE w:val="0"/>
        <w:autoSpaceDN w:val="0"/>
        <w:adjustRightInd w:val="0"/>
        <w:spacing w:after="0" w:line="240" w:lineRule="auto"/>
        <w:rPr>
          <w:rFonts w:ascii="Arial" w:hAnsi="Arial" w:cs="Arial"/>
          <w:sz w:val="36"/>
          <w:szCs w:val="36"/>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Leave</w:t>
      </w:r>
    </w:p>
    <w:p w:rsidR="009C6CBB" w:rsidRPr="0032472A" w:rsidRDefault="009C6CBB" w:rsidP="009C6CBB">
      <w:pPr>
        <w:autoSpaceDE w:val="0"/>
        <w:autoSpaceDN w:val="0"/>
        <w:adjustRightInd w:val="0"/>
        <w:spacing w:after="0" w:line="240" w:lineRule="auto"/>
        <w:rPr>
          <w:rFonts w:ascii="Arial" w:hAnsi="Arial" w:cs="Arial"/>
          <w:b/>
          <w:u w:val="single"/>
        </w:rPr>
      </w:pPr>
    </w:p>
    <w:p w:rsidR="009C6CBB" w:rsidRPr="0032472A" w:rsidRDefault="009C6CBB" w:rsidP="009C6CBB">
      <w:pPr>
        <w:rPr>
          <w:rFonts w:ascii="Arial" w:hAnsi="Arial" w:cs="Arial"/>
        </w:rPr>
      </w:pPr>
      <w:r w:rsidRPr="0032472A">
        <w:rPr>
          <w:rFonts w:ascii="Arial" w:hAnsi="Arial" w:cs="Arial"/>
        </w:rPr>
        <w:t>• Leave for life changing events.</w:t>
      </w: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Safety and rest limits</w:t>
      </w:r>
    </w:p>
    <w:p w:rsidR="009C6CBB" w:rsidRPr="002D2AB1"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MT" w:hAnsi="ArialMT" w:cs="ArialMT"/>
        </w:rPr>
        <w:t xml:space="preserve">• </w:t>
      </w:r>
      <w:r w:rsidRPr="0032472A">
        <w:rPr>
          <w:rFonts w:ascii="Arial" w:hAnsi="Arial" w:cs="Arial"/>
        </w:rPr>
        <w:t>Breaks for night shifts.</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Weekend frequency exemption for nodal point 2:</w:t>
      </w:r>
    </w:p>
    <w:p w:rsidR="009C6CBB" w:rsidRPr="0032472A" w:rsidRDefault="009C6CBB" w:rsidP="009C6CBB">
      <w:pPr>
        <w:autoSpaceDE w:val="0"/>
        <w:autoSpaceDN w:val="0"/>
        <w:adjustRightInd w:val="0"/>
        <w:spacing w:after="0" w:line="240" w:lineRule="auto"/>
        <w:rPr>
          <w:rFonts w:ascii="Arial" w:hAnsi="Arial" w:cs="Arial"/>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FY2 rotas using the weekend frequency exemption will be risk assessed at the point of commencement in August. Where no significant risks are identified that would render the service unworkable, rotas will be amended to a maximum frequency of 1 in 2 weekends, using local rota change processes, in line with the good rostering guide.</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Where there is a significant impact on service provision and/or the trainees training requirements the existing rotas will remain in place until no later than December 2019.</w:t>
      </w:r>
    </w:p>
    <w:p w:rsidR="0000301F" w:rsidRPr="0032472A" w:rsidRDefault="0000301F" w:rsidP="00346098">
      <w:pPr>
        <w:pStyle w:val="ListParagraph"/>
        <w:spacing w:after="0" w:line="240" w:lineRule="auto"/>
        <w:ind w:left="0"/>
        <w:contextualSpacing/>
        <w:jc w:val="both"/>
        <w:rPr>
          <w:noProof/>
          <w:lang w:eastAsia="en-GB"/>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Employers notified of 12-month timeframe to commence the process to alter existing rotas and will need to start consultation with trainees to reduce:</w:t>
      </w:r>
    </w:p>
    <w:p w:rsidR="009C6CBB" w:rsidRPr="0032472A" w:rsidRDefault="009C6CBB" w:rsidP="009C6CBB">
      <w:pPr>
        <w:pStyle w:val="ListParagraph"/>
        <w:numPr>
          <w:ilvl w:val="0"/>
          <w:numId w:val="7"/>
        </w:numPr>
        <w:autoSpaceDE w:val="0"/>
        <w:autoSpaceDN w:val="0"/>
        <w:adjustRightInd w:val="0"/>
        <w:spacing w:after="0" w:line="240" w:lineRule="auto"/>
        <w:contextualSpacing/>
        <w:rPr>
          <w:rFonts w:ascii="Arial" w:hAnsi="Arial" w:cs="Arial"/>
        </w:rPr>
      </w:pPr>
      <w:r w:rsidRPr="0032472A">
        <w:rPr>
          <w:rFonts w:ascii="Arial" w:hAnsi="Arial" w:cs="Arial"/>
        </w:rPr>
        <w:t>the maximum number of consecutive shifts rostered or worked over 8 consecutive days reduced from 8 to 7</w:t>
      </w:r>
    </w:p>
    <w:p w:rsidR="009C6CBB" w:rsidRPr="0032472A" w:rsidRDefault="009C6CBB" w:rsidP="009C6CBB">
      <w:pPr>
        <w:pStyle w:val="ListParagraph"/>
        <w:numPr>
          <w:ilvl w:val="0"/>
          <w:numId w:val="7"/>
        </w:numPr>
        <w:autoSpaceDE w:val="0"/>
        <w:autoSpaceDN w:val="0"/>
        <w:adjustRightInd w:val="0"/>
        <w:spacing w:after="0" w:line="240" w:lineRule="auto"/>
        <w:contextualSpacing/>
        <w:rPr>
          <w:rFonts w:ascii="Arial" w:hAnsi="Arial" w:cs="Arial"/>
        </w:rPr>
      </w:pPr>
      <w:proofErr w:type="gramStart"/>
      <w:r w:rsidRPr="0032472A">
        <w:rPr>
          <w:rFonts w:ascii="Arial" w:hAnsi="Arial" w:cs="Arial"/>
        </w:rPr>
        <w:t>the</w:t>
      </w:r>
      <w:proofErr w:type="gramEnd"/>
      <w:r w:rsidRPr="0032472A">
        <w:rPr>
          <w:rFonts w:ascii="Arial" w:hAnsi="Arial" w:cs="Arial"/>
        </w:rPr>
        <w:t xml:space="preserve"> maximum number of consecutive long day shifts rostered or worked reduced from 5 to 4.</w:t>
      </w:r>
    </w:p>
    <w:p w:rsidR="009C6CBB" w:rsidRPr="0032472A" w:rsidRDefault="009C6CBB" w:rsidP="009C6CBB">
      <w:pPr>
        <w:autoSpaceDE w:val="0"/>
        <w:autoSpaceDN w:val="0"/>
        <w:adjustRightInd w:val="0"/>
        <w:spacing w:after="0" w:line="240" w:lineRule="auto"/>
        <w:rPr>
          <w:rFonts w:ascii="Arial" w:hAnsi="Arial" w:cs="Arial"/>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Arrangements to alter existing rotas to meet this provision should commence as soon as is reasonably practicable but, in any event, must have concluded by 5 August 2020.</w:t>
      </w:r>
    </w:p>
    <w:p w:rsidR="009C6CBB" w:rsidRDefault="009C6CBB" w:rsidP="009C6CBB">
      <w:pPr>
        <w:autoSpaceDE w:val="0"/>
        <w:autoSpaceDN w:val="0"/>
        <w:adjustRightInd w:val="0"/>
        <w:spacing w:after="0" w:line="240" w:lineRule="auto"/>
        <w:rPr>
          <w:rFonts w:ascii="Arial" w:hAnsi="Arial" w:cs="Arial"/>
          <w:sz w:val="38"/>
          <w:szCs w:val="38"/>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Locum work</w:t>
      </w:r>
    </w:p>
    <w:p w:rsidR="009C6CBB" w:rsidRPr="008D07EF" w:rsidRDefault="009C6CBB" w:rsidP="009C6CBB">
      <w:pPr>
        <w:autoSpaceDE w:val="0"/>
        <w:autoSpaceDN w:val="0"/>
        <w:adjustRightInd w:val="0"/>
        <w:spacing w:after="0" w:line="240" w:lineRule="auto"/>
        <w:rPr>
          <w:rFonts w:ascii="Arial" w:hAnsi="Arial" w:cs="Arial"/>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Locum clause clarification</w:t>
      </w:r>
    </w:p>
    <w:p w:rsidR="009C6CBB" w:rsidRDefault="009C6CBB" w:rsidP="009C6CBB">
      <w:pPr>
        <w:autoSpaceDE w:val="0"/>
        <w:autoSpaceDN w:val="0"/>
        <w:adjustRightInd w:val="0"/>
        <w:spacing w:after="0" w:line="240" w:lineRule="auto"/>
        <w:rPr>
          <w:rFonts w:ascii="Arial" w:hAnsi="Arial" w:cs="Arial"/>
          <w:sz w:val="36"/>
          <w:szCs w:val="36"/>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Facilities</w:t>
      </w:r>
    </w:p>
    <w:p w:rsidR="009C6CBB" w:rsidRDefault="009C6CBB" w:rsidP="009C6CBB">
      <w:pPr>
        <w:autoSpaceDE w:val="0"/>
        <w:autoSpaceDN w:val="0"/>
        <w:adjustRightInd w:val="0"/>
        <w:spacing w:after="0" w:line="240" w:lineRule="auto"/>
        <w:rPr>
          <w:rFonts w:ascii="Arial" w:hAnsi="Arial" w:cs="Arial"/>
          <w:sz w:val="36"/>
          <w:szCs w:val="36"/>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MT" w:hAnsi="ArialMT" w:cs="ArialMT"/>
        </w:rPr>
        <w:t xml:space="preserve">• </w:t>
      </w:r>
      <w:r w:rsidRPr="0032472A">
        <w:rPr>
          <w:rFonts w:ascii="Arial" w:hAnsi="Arial" w:cs="Arial"/>
        </w:rPr>
        <w:t>Too tired to drive home provisions</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Payment for accommodation when non-resident on-call</w:t>
      </w:r>
    </w:p>
    <w:p w:rsidR="009C6CBB" w:rsidRDefault="009C6CBB" w:rsidP="009C6CBB">
      <w:pPr>
        <w:autoSpaceDE w:val="0"/>
        <w:autoSpaceDN w:val="0"/>
        <w:adjustRightInd w:val="0"/>
        <w:spacing w:after="0" w:line="240" w:lineRule="auto"/>
        <w:rPr>
          <w:rFonts w:ascii="Arial" w:hAnsi="Arial" w:cs="Arial"/>
          <w:sz w:val="36"/>
          <w:szCs w:val="36"/>
        </w:rPr>
      </w:pPr>
    </w:p>
    <w:p w:rsidR="009C6CBB" w:rsidRPr="009C6CBB" w:rsidRDefault="009C6CBB" w:rsidP="009C6CBB">
      <w:pPr>
        <w:autoSpaceDE w:val="0"/>
        <w:autoSpaceDN w:val="0"/>
        <w:adjustRightInd w:val="0"/>
        <w:spacing w:after="0" w:line="240" w:lineRule="auto"/>
        <w:rPr>
          <w:rFonts w:ascii="Arial" w:hAnsi="Arial" w:cs="Arial"/>
          <w:b/>
          <w:sz w:val="24"/>
          <w:szCs w:val="24"/>
          <w:u w:val="single"/>
        </w:rPr>
      </w:pPr>
      <w:r w:rsidRPr="009C6CBB">
        <w:rPr>
          <w:rFonts w:ascii="Arial" w:hAnsi="Arial" w:cs="Arial"/>
          <w:b/>
          <w:sz w:val="24"/>
          <w:szCs w:val="24"/>
          <w:u w:val="single"/>
        </w:rPr>
        <w:t>GP Trainees</w:t>
      </w:r>
    </w:p>
    <w:p w:rsidR="009C6CBB" w:rsidRPr="008D07EF"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sz w:val="24"/>
          <w:szCs w:val="24"/>
        </w:rPr>
      </w:pPr>
      <w:r w:rsidRPr="0032472A">
        <w:rPr>
          <w:rFonts w:ascii="ArialMT" w:hAnsi="ArialMT" w:cs="ArialMT"/>
        </w:rPr>
        <w:t xml:space="preserve">• </w:t>
      </w:r>
      <w:r w:rsidRPr="0032472A">
        <w:rPr>
          <w:rFonts w:ascii="Arial" w:hAnsi="Arial" w:cs="Arial"/>
          <w:sz w:val="24"/>
          <w:szCs w:val="24"/>
        </w:rPr>
        <w:t>Supernumerary status of GP trainees</w:t>
      </w:r>
    </w:p>
    <w:p w:rsidR="009C6CBB" w:rsidRPr="002D2AB1" w:rsidRDefault="009C6CBB" w:rsidP="009C6CBB">
      <w:pPr>
        <w:autoSpaceDE w:val="0"/>
        <w:autoSpaceDN w:val="0"/>
        <w:adjustRightInd w:val="0"/>
        <w:spacing w:after="0" w:line="240" w:lineRule="auto"/>
        <w:rPr>
          <w:rFonts w:ascii="Arial" w:hAnsi="Arial" w:cs="Arial"/>
          <w:sz w:val="32"/>
          <w:szCs w:val="32"/>
        </w:rPr>
      </w:pPr>
      <w:r w:rsidRPr="0032472A">
        <w:rPr>
          <w:rFonts w:ascii="Arial" w:hAnsi="Arial" w:cs="Arial"/>
          <w:sz w:val="24"/>
          <w:szCs w:val="24"/>
        </w:rPr>
        <w:t>• Additional mileage/expenses for GP trainee hom</w:t>
      </w:r>
      <w:r w:rsidRPr="002D2AB1">
        <w:rPr>
          <w:rFonts w:ascii="Arial" w:hAnsi="Arial" w:cs="Arial"/>
          <w:sz w:val="32"/>
          <w:szCs w:val="32"/>
        </w:rPr>
        <w:t>e visits</w:t>
      </w:r>
    </w:p>
    <w:p w:rsidR="009C6CBB" w:rsidRDefault="009C6CBB" w:rsidP="009C6CBB">
      <w:pPr>
        <w:autoSpaceDE w:val="0"/>
        <w:autoSpaceDN w:val="0"/>
        <w:adjustRightInd w:val="0"/>
        <w:spacing w:after="0" w:line="240" w:lineRule="auto"/>
        <w:rPr>
          <w:rFonts w:ascii="Arial" w:hAnsi="Arial" w:cs="Arial"/>
          <w:sz w:val="36"/>
          <w:szCs w:val="36"/>
        </w:rPr>
      </w:pPr>
    </w:p>
    <w:p w:rsidR="009C6CBB" w:rsidRDefault="009C6CBB" w:rsidP="009C6CBB">
      <w:pPr>
        <w:autoSpaceDE w:val="0"/>
        <w:autoSpaceDN w:val="0"/>
        <w:adjustRightInd w:val="0"/>
        <w:spacing w:after="0" w:line="240" w:lineRule="auto"/>
        <w:rPr>
          <w:rFonts w:ascii="Arial" w:hAnsi="Arial" w:cs="Arial"/>
          <w:sz w:val="36"/>
          <w:szCs w:val="36"/>
        </w:rPr>
      </w:pPr>
      <w:r w:rsidRPr="009C6CBB">
        <w:rPr>
          <w:rFonts w:ascii="Arial" w:hAnsi="Arial" w:cs="Arial"/>
          <w:b/>
          <w:sz w:val="24"/>
          <w:szCs w:val="24"/>
          <w:u w:val="single"/>
        </w:rPr>
        <w:t>Guardian fines</w:t>
      </w:r>
      <w:r>
        <w:rPr>
          <w:rFonts w:ascii="Arial" w:hAnsi="Arial" w:cs="Arial"/>
          <w:sz w:val="36"/>
          <w:szCs w:val="36"/>
        </w:rPr>
        <w:t xml:space="preserve"> </w:t>
      </w:r>
      <w:r w:rsidRPr="0032472A">
        <w:rPr>
          <w:rFonts w:ascii="Arial" w:hAnsi="Arial" w:cs="Arial"/>
        </w:rPr>
        <w:t>(as per amended pay circular)</w:t>
      </w:r>
    </w:p>
    <w:p w:rsidR="009C6CBB" w:rsidRDefault="009C6CBB" w:rsidP="009C6CBB">
      <w:pPr>
        <w:autoSpaceDE w:val="0"/>
        <w:autoSpaceDN w:val="0"/>
        <w:adjustRightInd w:val="0"/>
        <w:spacing w:after="0" w:line="240" w:lineRule="auto"/>
        <w:rPr>
          <w:rFonts w:ascii="Arial" w:hAnsi="Arial" w:cs="Arial"/>
          <w:sz w:val="36"/>
          <w:szCs w:val="36"/>
        </w:rPr>
      </w:pPr>
    </w:p>
    <w:p w:rsidR="009C6CBB" w:rsidRDefault="009C6CBB" w:rsidP="009C6CBB">
      <w:pPr>
        <w:autoSpaceDE w:val="0"/>
        <w:autoSpaceDN w:val="0"/>
        <w:adjustRightInd w:val="0"/>
        <w:spacing w:after="0" w:line="240" w:lineRule="auto"/>
        <w:rPr>
          <w:rFonts w:ascii="Arial" w:hAnsi="Arial" w:cs="Arial"/>
          <w:sz w:val="36"/>
          <w:szCs w:val="36"/>
        </w:rPr>
      </w:pPr>
      <w:r w:rsidRPr="0032472A">
        <w:rPr>
          <w:rFonts w:ascii="ArialMT" w:hAnsi="ArialMT" w:cs="ArialMT"/>
        </w:rPr>
        <w:t>•</w:t>
      </w:r>
      <w:r>
        <w:rPr>
          <w:rFonts w:ascii="ArialMT" w:hAnsi="ArialMT" w:cs="ArialMT"/>
          <w:sz w:val="36"/>
          <w:szCs w:val="36"/>
        </w:rPr>
        <w:t xml:space="preserve"> </w:t>
      </w:r>
      <w:r w:rsidRPr="0032472A">
        <w:rPr>
          <w:rFonts w:ascii="Arial" w:hAnsi="Arial" w:cs="Arial"/>
        </w:rPr>
        <w:t>Rates of guardian fines</w:t>
      </w:r>
    </w:p>
    <w:p w:rsidR="009C6CBB" w:rsidRDefault="009C6CBB" w:rsidP="009C6CBB">
      <w:pPr>
        <w:autoSpaceDE w:val="0"/>
        <w:autoSpaceDN w:val="0"/>
        <w:adjustRightInd w:val="0"/>
        <w:spacing w:after="0" w:line="240" w:lineRule="auto"/>
        <w:rPr>
          <w:rFonts w:ascii="Arial" w:hAnsi="Arial" w:cs="Arial"/>
          <w:sz w:val="36"/>
          <w:szCs w:val="36"/>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Exception reporting</w:t>
      </w:r>
    </w:p>
    <w:p w:rsidR="009C6CBB" w:rsidRPr="008D07EF"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MT" w:hAnsi="ArialMT" w:cs="ArialMT"/>
        </w:rPr>
        <w:t xml:space="preserve">• </w:t>
      </w:r>
      <w:r w:rsidRPr="0032472A">
        <w:rPr>
          <w:rFonts w:ascii="Arial" w:hAnsi="Arial" w:cs="Arial"/>
        </w:rPr>
        <w:t>What can be exception reported</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MT" w:hAnsi="ArialMT" w:cs="ArialMT"/>
        </w:rPr>
        <w:t xml:space="preserve">• </w:t>
      </w:r>
      <w:r w:rsidRPr="0032472A">
        <w:rPr>
          <w:rFonts w:ascii="Arial" w:hAnsi="Arial" w:cs="Arial"/>
        </w:rPr>
        <w:t>Pre-authorisation for additional hours of work</w:t>
      </w:r>
    </w:p>
    <w:p w:rsidR="009C6CBB" w:rsidRDefault="009C6CBB" w:rsidP="00346098">
      <w:pPr>
        <w:pStyle w:val="ListParagraph"/>
        <w:spacing w:after="0" w:line="240" w:lineRule="auto"/>
        <w:ind w:left="0"/>
        <w:contextualSpacing/>
        <w:jc w:val="both"/>
        <w:rPr>
          <w:noProof/>
          <w:lang w:eastAsia="en-GB"/>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Work scheduling</w:t>
      </w:r>
    </w:p>
    <w:p w:rsidR="009C6CBB" w:rsidRPr="008D07EF"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Personalised work scheduling meetings and off-site educational supervisors</w:t>
      </w:r>
    </w:p>
    <w:p w:rsidR="009C6CBB" w:rsidRPr="0032472A" w:rsidRDefault="009C6CBB" w:rsidP="009C6CBB">
      <w:pPr>
        <w:autoSpaceDE w:val="0"/>
        <w:autoSpaceDN w:val="0"/>
        <w:adjustRightInd w:val="0"/>
        <w:spacing w:after="0" w:line="240" w:lineRule="auto"/>
        <w:rPr>
          <w:rFonts w:ascii="Arial" w:hAnsi="Arial" w:cs="Arial"/>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Exception reporting for missed personalised work scheduling meetings</w:t>
      </w:r>
    </w:p>
    <w:p w:rsidR="009C6CBB" w:rsidRPr="0032472A" w:rsidRDefault="009C6CBB" w:rsidP="009C6CBB">
      <w:pPr>
        <w:autoSpaceDE w:val="0"/>
        <w:autoSpaceDN w:val="0"/>
        <w:adjustRightInd w:val="0"/>
        <w:spacing w:after="0" w:line="240" w:lineRule="auto"/>
        <w:rPr>
          <w:rFonts w:ascii="Arial" w:hAnsi="Arial" w:cs="Arial"/>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Due to the short notice with the implementation of this provision, for trainees commencing on 7 August, it may not be possible to arrange a meeting with their educational supervisor within the 4 week timeframe. In this situation the trainee must arrange a meeting with the clinical lead as soon as it’s practicable to do so.</w:t>
      </w:r>
    </w:p>
    <w:p w:rsidR="009C6CBB" w:rsidRDefault="009C6CBB" w:rsidP="009C6CBB">
      <w:pPr>
        <w:autoSpaceDE w:val="0"/>
        <w:autoSpaceDN w:val="0"/>
        <w:adjustRightInd w:val="0"/>
        <w:spacing w:after="0" w:line="240" w:lineRule="auto"/>
        <w:rPr>
          <w:rFonts w:ascii="Arial" w:hAnsi="Arial" w:cs="Arial"/>
          <w:sz w:val="38"/>
          <w:szCs w:val="38"/>
        </w:rPr>
      </w:pPr>
    </w:p>
    <w:p w:rsidR="009C6CBB" w:rsidRPr="009C6CBB" w:rsidRDefault="009C6CBB" w:rsidP="009C6CBB">
      <w:pPr>
        <w:autoSpaceDE w:val="0"/>
        <w:autoSpaceDN w:val="0"/>
        <w:adjustRightInd w:val="0"/>
        <w:spacing w:after="0" w:line="240" w:lineRule="auto"/>
        <w:rPr>
          <w:rFonts w:ascii="Arial" w:hAnsi="Arial" w:cs="Arial"/>
          <w:b/>
          <w:sz w:val="24"/>
          <w:szCs w:val="24"/>
          <w:u w:val="single"/>
        </w:rPr>
      </w:pPr>
      <w:r w:rsidRPr="009C6CBB">
        <w:rPr>
          <w:rFonts w:ascii="Arial" w:hAnsi="Arial" w:cs="Arial"/>
          <w:b/>
          <w:sz w:val="24"/>
          <w:szCs w:val="24"/>
          <w:u w:val="single"/>
        </w:rPr>
        <w:t>Pay and transitional arrangements</w:t>
      </w:r>
    </w:p>
    <w:p w:rsidR="009C6CBB" w:rsidRPr="002D2AB1"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2D2AB1">
        <w:rPr>
          <w:rFonts w:ascii="Arial" w:hAnsi="Arial" w:cs="Arial"/>
          <w:sz w:val="36"/>
          <w:szCs w:val="36"/>
        </w:rPr>
        <w:t xml:space="preserve">• </w:t>
      </w:r>
      <w:r w:rsidRPr="0032472A">
        <w:rPr>
          <w:rFonts w:ascii="Arial" w:hAnsi="Arial" w:cs="Arial"/>
        </w:rPr>
        <w:t>Pay protection clause for those on 2002 terms and conditions is updated to reflect pay protection arrangements for those moving onto the updated 2016</w:t>
      </w:r>
    </w:p>
    <w:p w:rsidR="009C6CBB" w:rsidRPr="0032472A" w:rsidRDefault="009C6CBB" w:rsidP="009C6CBB">
      <w:pPr>
        <w:autoSpaceDE w:val="0"/>
        <w:autoSpaceDN w:val="0"/>
        <w:adjustRightInd w:val="0"/>
        <w:spacing w:after="0" w:line="240" w:lineRule="auto"/>
        <w:rPr>
          <w:rFonts w:ascii="Arial" w:hAnsi="Arial" w:cs="Arial"/>
        </w:rPr>
      </w:pPr>
      <w:proofErr w:type="gramStart"/>
      <w:r w:rsidRPr="0032472A">
        <w:rPr>
          <w:rFonts w:ascii="Arial" w:hAnsi="Arial" w:cs="Arial"/>
        </w:rPr>
        <w:t>TCS.</w:t>
      </w:r>
      <w:proofErr w:type="gramEnd"/>
    </w:p>
    <w:p w:rsidR="009C6CBB" w:rsidRPr="0032472A" w:rsidRDefault="009C6CBB" w:rsidP="009C6CBB">
      <w:pPr>
        <w:autoSpaceDE w:val="0"/>
        <w:autoSpaceDN w:val="0"/>
        <w:adjustRightInd w:val="0"/>
        <w:spacing w:after="0" w:line="240" w:lineRule="auto"/>
        <w:rPr>
          <w:rFonts w:ascii="Arial" w:hAnsi="Arial" w:cs="Arial"/>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The parties have committed to ensure that an arrangement in this regard will be reached by early October 2019. Trainees who remain on the 2002</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TCS should not be moved onto the updated 2016 terms until pay protection arrangements have been finalised and a transition date agreed.</w:t>
      </w:r>
    </w:p>
    <w:p w:rsidR="009C6CBB" w:rsidRDefault="009C6CBB" w:rsidP="009C6CBB">
      <w:pPr>
        <w:autoSpaceDE w:val="0"/>
        <w:autoSpaceDN w:val="0"/>
        <w:adjustRightInd w:val="0"/>
        <w:spacing w:after="0" w:line="240" w:lineRule="auto"/>
        <w:rPr>
          <w:rFonts w:ascii="Arial" w:hAnsi="Arial" w:cs="Arial"/>
          <w:sz w:val="28"/>
          <w:szCs w:val="28"/>
        </w:rPr>
      </w:pPr>
    </w:p>
    <w:p w:rsidR="0032472A" w:rsidRDefault="0032472A" w:rsidP="009C6CBB">
      <w:pPr>
        <w:autoSpaceDE w:val="0"/>
        <w:autoSpaceDN w:val="0"/>
        <w:adjustRightInd w:val="0"/>
        <w:spacing w:after="0" w:line="240" w:lineRule="auto"/>
        <w:rPr>
          <w:rFonts w:ascii="Arial" w:hAnsi="Arial" w:cs="Arial"/>
          <w:sz w:val="28"/>
          <w:szCs w:val="28"/>
        </w:rPr>
      </w:pPr>
    </w:p>
    <w:p w:rsid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Safety Limits</w:t>
      </w:r>
    </w:p>
    <w:p w:rsidR="0032472A" w:rsidRPr="0032472A" w:rsidRDefault="0032472A" w:rsidP="009C6CBB">
      <w:pPr>
        <w:autoSpaceDE w:val="0"/>
        <w:autoSpaceDN w:val="0"/>
        <w:adjustRightInd w:val="0"/>
        <w:spacing w:after="0" w:line="240" w:lineRule="auto"/>
        <w:rPr>
          <w:rFonts w:ascii="Arial" w:hAnsi="Arial" w:cs="Arial"/>
          <w:b/>
          <w:u w:val="single"/>
        </w:rPr>
      </w:pPr>
    </w:p>
    <w:p w:rsidR="0032472A" w:rsidRPr="0032472A" w:rsidRDefault="009C6CBB" w:rsidP="009C6CBB">
      <w:pPr>
        <w:autoSpaceDE w:val="0"/>
        <w:autoSpaceDN w:val="0"/>
        <w:adjustRightInd w:val="0"/>
        <w:spacing w:after="0" w:line="240" w:lineRule="auto"/>
        <w:rPr>
          <w:rFonts w:ascii="Arial" w:hAnsi="Arial" w:cs="Arial"/>
          <w:sz w:val="24"/>
          <w:szCs w:val="24"/>
        </w:rPr>
      </w:pPr>
      <w:r w:rsidRPr="00E530D3">
        <w:rPr>
          <w:rFonts w:ascii="Arial" w:hAnsi="Arial" w:cs="Arial"/>
          <w:sz w:val="32"/>
          <w:szCs w:val="32"/>
        </w:rPr>
        <w:t xml:space="preserve">• </w:t>
      </w:r>
      <w:r w:rsidRPr="0032472A">
        <w:rPr>
          <w:rFonts w:ascii="Arial" w:hAnsi="Arial" w:cs="Arial"/>
          <w:sz w:val="24"/>
          <w:szCs w:val="24"/>
        </w:rPr>
        <w:t>Maximum of 72 hours work in any consecutive 168-hour period</w:t>
      </w: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lastRenderedPageBreak/>
        <w:t>Work scheduling</w:t>
      </w:r>
    </w:p>
    <w:p w:rsidR="009C6CBB" w:rsidRPr="00E530D3" w:rsidRDefault="009C6CBB" w:rsidP="009C6CBB">
      <w:pPr>
        <w:autoSpaceDE w:val="0"/>
        <w:autoSpaceDN w:val="0"/>
        <w:adjustRightInd w:val="0"/>
        <w:spacing w:after="0" w:line="240" w:lineRule="auto"/>
        <w:rPr>
          <w:rFonts w:ascii="Arial" w:hAnsi="Arial" w:cs="Arial"/>
          <w:b/>
          <w:sz w:val="36"/>
          <w:szCs w:val="36"/>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Recommended to issue for Oct 2019, or at the trainees next scheduled rotation</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Host and lead employer responsibilities (guidance)</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Mandatory training requirements to be sent with generic work schedule</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Generic work schedules to be sent to include the local trust induction required to be undertaken prior or at the start of the placement</w:t>
      </w:r>
    </w:p>
    <w:p w:rsidR="009C6CBB" w:rsidRDefault="009C6CBB" w:rsidP="009C6CBB">
      <w:pPr>
        <w:autoSpaceDE w:val="0"/>
        <w:autoSpaceDN w:val="0"/>
        <w:adjustRightInd w:val="0"/>
        <w:spacing w:after="0" w:line="240" w:lineRule="auto"/>
        <w:rPr>
          <w:rFonts w:ascii="Arial" w:hAnsi="Arial" w:cs="Arial"/>
          <w:sz w:val="32"/>
          <w:szCs w:val="32"/>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Exception reporting</w:t>
      </w:r>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Default="009C6CBB" w:rsidP="009C6CBB">
      <w:pPr>
        <w:autoSpaceDE w:val="0"/>
        <w:autoSpaceDN w:val="0"/>
        <w:adjustRightInd w:val="0"/>
        <w:spacing w:after="0" w:line="240" w:lineRule="auto"/>
        <w:rPr>
          <w:rFonts w:ascii="Arial" w:hAnsi="Arial" w:cs="Arial"/>
          <w:sz w:val="32"/>
          <w:szCs w:val="32"/>
        </w:rPr>
      </w:pPr>
      <w:r w:rsidRPr="0032472A">
        <w:rPr>
          <w:rFonts w:ascii="ArialMT" w:hAnsi="ArialMT" w:cs="ArialMT"/>
        </w:rPr>
        <w:t xml:space="preserve">• </w:t>
      </w:r>
      <w:r w:rsidRPr="0032472A">
        <w:rPr>
          <w:rFonts w:ascii="Arial" w:hAnsi="Arial" w:cs="Arial"/>
        </w:rPr>
        <w:t>Review process for exception reports locally</w:t>
      </w:r>
    </w:p>
    <w:p w:rsidR="009C6CBB" w:rsidRPr="00E530D3" w:rsidRDefault="009C6CBB" w:rsidP="009C6CBB">
      <w:pPr>
        <w:autoSpaceDE w:val="0"/>
        <w:autoSpaceDN w:val="0"/>
        <w:adjustRightInd w:val="0"/>
        <w:spacing w:after="0" w:line="240" w:lineRule="auto"/>
        <w:rPr>
          <w:rFonts w:ascii="Arial" w:hAnsi="Arial" w:cs="Arial"/>
          <w:sz w:val="32"/>
          <w:szCs w:val="32"/>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Agreed sections of the good rostering guidance</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Non-resident on-call rotas (NROC)</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Less Than Full Time (LTFT) principles</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Cover arrangements and leave</w:t>
      </w:r>
    </w:p>
    <w:p w:rsidR="009C6CBB" w:rsidRDefault="009C6CBB" w:rsidP="009C6CBB">
      <w:pPr>
        <w:autoSpaceDE w:val="0"/>
        <w:autoSpaceDN w:val="0"/>
        <w:adjustRightInd w:val="0"/>
        <w:spacing w:after="0" w:line="240" w:lineRule="auto"/>
        <w:rPr>
          <w:rFonts w:ascii="Arial" w:hAnsi="Arial" w:cs="Arial"/>
          <w:sz w:val="32"/>
          <w:szCs w:val="32"/>
        </w:rPr>
      </w:pPr>
    </w:p>
    <w:p w:rsidR="009C6CBB" w:rsidRPr="009C6CBB" w:rsidRDefault="009C6CBB" w:rsidP="009C6CBB">
      <w:pPr>
        <w:autoSpaceDE w:val="0"/>
        <w:autoSpaceDN w:val="0"/>
        <w:adjustRightInd w:val="0"/>
        <w:spacing w:after="0" w:line="240" w:lineRule="auto"/>
        <w:rPr>
          <w:rFonts w:ascii="Arial" w:hAnsi="Arial" w:cs="Arial"/>
          <w:b/>
          <w:sz w:val="24"/>
          <w:szCs w:val="24"/>
          <w:u w:val="single"/>
        </w:rPr>
      </w:pPr>
      <w:r w:rsidRPr="009C6CBB">
        <w:rPr>
          <w:rFonts w:ascii="Arial" w:hAnsi="Arial" w:cs="Arial"/>
          <w:b/>
          <w:sz w:val="24"/>
          <w:szCs w:val="24"/>
          <w:u w:val="single"/>
        </w:rPr>
        <w:t>Pay</w:t>
      </w:r>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w:t>
      </w:r>
      <w:r w:rsidRPr="00E530D3">
        <w:rPr>
          <w:rFonts w:ascii="Arial" w:hAnsi="Arial" w:cs="Arial"/>
          <w:sz w:val="32"/>
          <w:szCs w:val="32"/>
        </w:rPr>
        <w:t xml:space="preserve"> </w:t>
      </w:r>
      <w:r w:rsidRPr="0032472A">
        <w:rPr>
          <w:rFonts w:ascii="Arial" w:hAnsi="Arial" w:cs="Arial"/>
        </w:rPr>
        <w:t>Weekend frequency allowance</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An enhanced rate of pay for shifts that finish after midnight and by 4am</w:t>
      </w:r>
    </w:p>
    <w:p w:rsidR="009C6CBB" w:rsidRDefault="009C6CBB" w:rsidP="009C6CBB">
      <w:pPr>
        <w:autoSpaceDE w:val="0"/>
        <w:autoSpaceDN w:val="0"/>
        <w:adjustRightInd w:val="0"/>
        <w:spacing w:after="0" w:line="240" w:lineRule="auto"/>
        <w:rPr>
          <w:rFonts w:ascii="Arial" w:hAnsi="Arial" w:cs="Arial"/>
          <w:sz w:val="36"/>
          <w:szCs w:val="36"/>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Exception reporting</w:t>
      </w:r>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Default="009C6CBB" w:rsidP="009C6CBB">
      <w:pPr>
        <w:autoSpaceDE w:val="0"/>
        <w:autoSpaceDN w:val="0"/>
        <w:adjustRightInd w:val="0"/>
        <w:spacing w:after="0" w:line="240" w:lineRule="auto"/>
        <w:rPr>
          <w:rFonts w:ascii="Arial" w:hAnsi="Arial" w:cs="Arial"/>
          <w:sz w:val="36"/>
          <w:szCs w:val="36"/>
        </w:rPr>
      </w:pPr>
      <w:r w:rsidRPr="0032472A">
        <w:rPr>
          <w:rFonts w:ascii="ArialMT" w:hAnsi="ArialMT" w:cs="ArialMT"/>
        </w:rPr>
        <w:t xml:space="preserve">• </w:t>
      </w:r>
      <w:r w:rsidRPr="0032472A">
        <w:rPr>
          <w:rFonts w:ascii="Arial" w:hAnsi="Arial" w:cs="Arial"/>
        </w:rPr>
        <w:t>Response time for educational supervisors</w:t>
      </w:r>
    </w:p>
    <w:p w:rsidR="009C6CBB" w:rsidRDefault="009C6CBB" w:rsidP="009C6CBB">
      <w:pPr>
        <w:autoSpaceDE w:val="0"/>
        <w:autoSpaceDN w:val="0"/>
        <w:adjustRightInd w:val="0"/>
        <w:spacing w:after="0" w:line="240" w:lineRule="auto"/>
        <w:rPr>
          <w:rFonts w:ascii="Arial" w:hAnsi="Arial" w:cs="Arial"/>
          <w:sz w:val="36"/>
          <w:szCs w:val="36"/>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Guardian of safe working hours</w:t>
      </w:r>
    </w:p>
    <w:p w:rsidR="009C6CBB" w:rsidRDefault="009C6CBB" w:rsidP="009C6CBB">
      <w:pPr>
        <w:autoSpaceDE w:val="0"/>
        <w:autoSpaceDN w:val="0"/>
        <w:adjustRightInd w:val="0"/>
        <w:spacing w:after="0" w:line="240" w:lineRule="auto"/>
        <w:rPr>
          <w:rFonts w:ascii="Arial" w:hAnsi="Arial" w:cs="Arial"/>
          <w:sz w:val="36"/>
          <w:szCs w:val="36"/>
        </w:rPr>
      </w:pPr>
    </w:p>
    <w:p w:rsidR="009C6CBB" w:rsidRDefault="009C6CBB" w:rsidP="009C6CBB">
      <w:pPr>
        <w:autoSpaceDE w:val="0"/>
        <w:autoSpaceDN w:val="0"/>
        <w:adjustRightInd w:val="0"/>
        <w:spacing w:after="0" w:line="240" w:lineRule="auto"/>
        <w:rPr>
          <w:rFonts w:ascii="Arial" w:hAnsi="Arial" w:cs="Arial"/>
          <w:sz w:val="36"/>
          <w:szCs w:val="36"/>
        </w:rPr>
      </w:pPr>
      <w:r w:rsidRPr="0032472A">
        <w:rPr>
          <w:rFonts w:ascii="ArialMT" w:hAnsi="ArialMT" w:cs="ArialMT"/>
        </w:rPr>
        <w:t xml:space="preserve">• </w:t>
      </w:r>
      <w:r w:rsidRPr="0032472A">
        <w:rPr>
          <w:rFonts w:ascii="Arial" w:hAnsi="Arial" w:cs="Arial"/>
        </w:rPr>
        <w:t>Administrative time and support</w:t>
      </w:r>
    </w:p>
    <w:p w:rsidR="009C6CBB" w:rsidRDefault="009C6CBB" w:rsidP="00346098">
      <w:pPr>
        <w:pStyle w:val="ListParagraph"/>
        <w:spacing w:after="0" w:line="240" w:lineRule="auto"/>
        <w:ind w:left="0"/>
        <w:contextualSpacing/>
        <w:jc w:val="both"/>
        <w:rPr>
          <w:noProof/>
          <w:lang w:eastAsia="en-GB"/>
        </w:rPr>
      </w:pPr>
    </w:p>
    <w:p w:rsidR="009C6CBB" w:rsidRDefault="009C6CBB" w:rsidP="00346098">
      <w:pPr>
        <w:pStyle w:val="ListParagraph"/>
        <w:spacing w:after="0" w:line="240" w:lineRule="auto"/>
        <w:ind w:left="0"/>
        <w:contextualSpacing/>
        <w:jc w:val="both"/>
        <w:rPr>
          <w:noProof/>
          <w:lang w:eastAsia="en-GB"/>
        </w:rPr>
      </w:pPr>
    </w:p>
    <w:p w:rsidR="009C6CBB" w:rsidRPr="009C6CBB" w:rsidRDefault="009C6CBB" w:rsidP="009C6CBB">
      <w:pPr>
        <w:autoSpaceDE w:val="0"/>
        <w:autoSpaceDN w:val="0"/>
        <w:adjustRightInd w:val="0"/>
        <w:spacing w:after="0" w:line="240" w:lineRule="auto"/>
        <w:rPr>
          <w:rFonts w:ascii="Arial" w:hAnsi="Arial" w:cs="Arial"/>
          <w:b/>
          <w:sz w:val="24"/>
          <w:szCs w:val="24"/>
          <w:u w:val="single"/>
        </w:rPr>
      </w:pPr>
      <w:r w:rsidRPr="009C6CBB">
        <w:rPr>
          <w:rFonts w:ascii="Arial" w:hAnsi="Arial" w:cs="Arial"/>
          <w:b/>
          <w:sz w:val="24"/>
          <w:szCs w:val="24"/>
          <w:u w:val="single"/>
        </w:rPr>
        <w:t>Guardian fines</w:t>
      </w:r>
    </w:p>
    <w:p w:rsidR="009C6CBB" w:rsidRPr="00E530D3" w:rsidRDefault="009C6CBB" w:rsidP="009C6CBB">
      <w:pPr>
        <w:autoSpaceDE w:val="0"/>
        <w:autoSpaceDN w:val="0"/>
        <w:adjustRightInd w:val="0"/>
        <w:spacing w:after="0" w:line="240" w:lineRule="auto"/>
        <w:rPr>
          <w:rFonts w:ascii="Arial" w:hAnsi="Arial" w:cs="Arial"/>
          <w:b/>
          <w:sz w:val="36"/>
          <w:szCs w:val="36"/>
        </w:rPr>
      </w:pPr>
    </w:p>
    <w:p w:rsidR="009C6CBB" w:rsidRDefault="009C6CBB" w:rsidP="009C6CBB">
      <w:pPr>
        <w:autoSpaceDE w:val="0"/>
        <w:autoSpaceDN w:val="0"/>
        <w:adjustRightInd w:val="0"/>
        <w:spacing w:after="0" w:line="240" w:lineRule="auto"/>
        <w:rPr>
          <w:rFonts w:ascii="Arial" w:hAnsi="Arial" w:cs="Arial"/>
          <w:sz w:val="36"/>
          <w:szCs w:val="36"/>
        </w:rPr>
      </w:pPr>
      <w:r>
        <w:rPr>
          <w:rFonts w:ascii="ArialMT" w:hAnsi="ArialMT" w:cs="ArialMT"/>
          <w:sz w:val="36"/>
          <w:szCs w:val="36"/>
        </w:rPr>
        <w:t xml:space="preserve">• </w:t>
      </w:r>
      <w:r w:rsidRPr="0032472A">
        <w:rPr>
          <w:rFonts w:ascii="Arial" w:hAnsi="Arial" w:cs="Arial"/>
        </w:rPr>
        <w:t>Breaches that attract a financial penalty</w:t>
      </w:r>
    </w:p>
    <w:p w:rsidR="009C6CBB" w:rsidRDefault="009C6CBB" w:rsidP="009C6CBB">
      <w:pPr>
        <w:autoSpaceDE w:val="0"/>
        <w:autoSpaceDN w:val="0"/>
        <w:adjustRightInd w:val="0"/>
        <w:spacing w:after="0" w:line="240" w:lineRule="auto"/>
        <w:rPr>
          <w:rFonts w:ascii="Arial" w:hAnsi="Arial" w:cs="Arial"/>
          <w:sz w:val="36"/>
          <w:szCs w:val="36"/>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 xml:space="preserve">Flexible Pay </w:t>
      </w:r>
      <w:proofErr w:type="spellStart"/>
      <w:r w:rsidRPr="009C6CBB">
        <w:rPr>
          <w:rFonts w:ascii="Arial" w:hAnsi="Arial" w:cs="Arial"/>
          <w:b/>
          <w:u w:val="single"/>
        </w:rPr>
        <w:t>Premia</w:t>
      </w:r>
      <w:proofErr w:type="spellEnd"/>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Default="009C6CBB" w:rsidP="009C6CBB">
      <w:pPr>
        <w:autoSpaceDE w:val="0"/>
        <w:autoSpaceDN w:val="0"/>
        <w:adjustRightInd w:val="0"/>
        <w:spacing w:after="0" w:line="240" w:lineRule="auto"/>
        <w:rPr>
          <w:rFonts w:ascii="Arial" w:hAnsi="Arial" w:cs="Arial"/>
          <w:sz w:val="32"/>
          <w:szCs w:val="32"/>
        </w:rPr>
      </w:pPr>
      <w:r w:rsidRPr="0032472A">
        <w:rPr>
          <w:rFonts w:ascii="ArialMT" w:hAnsi="ArialMT" w:cs="ArialMT"/>
        </w:rPr>
        <w:t xml:space="preserve">• </w:t>
      </w:r>
      <w:r w:rsidRPr="0032472A">
        <w:rPr>
          <w:rFonts w:ascii="Arial" w:hAnsi="Arial" w:cs="Arial"/>
        </w:rPr>
        <w:t xml:space="preserve">Academic Flexible Pay </w:t>
      </w:r>
      <w:proofErr w:type="spellStart"/>
      <w:r w:rsidRPr="0032472A">
        <w:rPr>
          <w:rFonts w:ascii="Arial" w:hAnsi="Arial" w:cs="Arial"/>
        </w:rPr>
        <w:t>Premia</w:t>
      </w:r>
      <w:proofErr w:type="spellEnd"/>
      <w:r w:rsidRPr="0032472A">
        <w:rPr>
          <w:rFonts w:ascii="Arial" w:hAnsi="Arial" w:cs="Arial"/>
        </w:rPr>
        <w:t xml:space="preserve"> (FPP)</w:t>
      </w:r>
    </w:p>
    <w:p w:rsidR="009C6CBB" w:rsidRPr="00E530D3" w:rsidRDefault="009C6CBB" w:rsidP="009C6CBB">
      <w:pPr>
        <w:autoSpaceDE w:val="0"/>
        <w:autoSpaceDN w:val="0"/>
        <w:adjustRightInd w:val="0"/>
        <w:spacing w:after="0" w:line="240" w:lineRule="auto"/>
        <w:rPr>
          <w:rFonts w:ascii="Arial" w:hAnsi="Arial" w:cs="Arial"/>
          <w:sz w:val="32"/>
          <w:szCs w:val="32"/>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 xml:space="preserve">Less </w:t>
      </w:r>
      <w:proofErr w:type="gramStart"/>
      <w:r w:rsidRPr="009C6CBB">
        <w:rPr>
          <w:rFonts w:ascii="Arial" w:hAnsi="Arial" w:cs="Arial"/>
          <w:b/>
          <w:u w:val="single"/>
        </w:rPr>
        <w:t>Than</w:t>
      </w:r>
      <w:proofErr w:type="gramEnd"/>
      <w:r w:rsidRPr="009C6CBB">
        <w:rPr>
          <w:rFonts w:ascii="Arial" w:hAnsi="Arial" w:cs="Arial"/>
          <w:b/>
          <w:u w:val="single"/>
        </w:rPr>
        <w:t xml:space="preserve"> Full Time</w:t>
      </w:r>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MT" w:hAnsi="ArialMT" w:cs="ArialMT"/>
        </w:rPr>
        <w:t xml:space="preserve">• </w:t>
      </w:r>
      <w:r w:rsidRPr="0032472A">
        <w:rPr>
          <w:rFonts w:ascii="Arial" w:hAnsi="Arial" w:cs="Arial"/>
        </w:rPr>
        <w:t>LTFT Allowance</w:t>
      </w:r>
    </w:p>
    <w:p w:rsidR="009C6CBB" w:rsidRDefault="009C6CBB" w:rsidP="009C6CBB">
      <w:pPr>
        <w:autoSpaceDE w:val="0"/>
        <w:autoSpaceDN w:val="0"/>
        <w:adjustRightInd w:val="0"/>
        <w:spacing w:after="0" w:line="240" w:lineRule="auto"/>
        <w:rPr>
          <w:rFonts w:ascii="Arial" w:hAnsi="Arial" w:cs="Arial"/>
          <w:sz w:val="32"/>
          <w:szCs w:val="32"/>
        </w:rPr>
      </w:pPr>
    </w:p>
    <w:p w:rsidR="00E739DC" w:rsidRDefault="00E739DC" w:rsidP="009C6CBB">
      <w:pPr>
        <w:autoSpaceDE w:val="0"/>
        <w:autoSpaceDN w:val="0"/>
        <w:adjustRightInd w:val="0"/>
        <w:spacing w:after="0" w:line="240" w:lineRule="auto"/>
        <w:rPr>
          <w:rFonts w:ascii="Arial" w:hAnsi="Arial" w:cs="Arial"/>
          <w:sz w:val="32"/>
          <w:szCs w:val="32"/>
        </w:rPr>
      </w:pPr>
    </w:p>
    <w:p w:rsidR="00E739DC" w:rsidRPr="00E530D3" w:rsidRDefault="00E739DC" w:rsidP="009C6CBB">
      <w:pPr>
        <w:autoSpaceDE w:val="0"/>
        <w:autoSpaceDN w:val="0"/>
        <w:adjustRightInd w:val="0"/>
        <w:spacing w:after="0" w:line="240" w:lineRule="auto"/>
        <w:rPr>
          <w:rFonts w:ascii="Arial" w:hAnsi="Arial" w:cs="Arial"/>
          <w:sz w:val="32"/>
          <w:szCs w:val="32"/>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Flexible training</w:t>
      </w:r>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MT" w:hAnsi="ArialMT" w:cs="ArialMT"/>
        </w:rPr>
        <w:t xml:space="preserve">• </w:t>
      </w:r>
      <w:r w:rsidRPr="0032472A">
        <w:rPr>
          <w:rFonts w:ascii="Arial" w:hAnsi="Arial" w:cs="Arial"/>
        </w:rPr>
        <w:t>Champion of flexible training</w:t>
      </w:r>
    </w:p>
    <w:p w:rsidR="009C6CBB" w:rsidRDefault="009C6CBB" w:rsidP="009C6CBB">
      <w:pPr>
        <w:autoSpaceDE w:val="0"/>
        <w:autoSpaceDN w:val="0"/>
        <w:adjustRightInd w:val="0"/>
        <w:spacing w:after="0" w:line="240" w:lineRule="auto"/>
        <w:rPr>
          <w:rFonts w:ascii="Arial" w:hAnsi="Arial" w:cs="Arial"/>
          <w:sz w:val="32"/>
          <w:szCs w:val="32"/>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Leave</w:t>
      </w:r>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MT" w:hAnsi="ArialMT" w:cs="ArialMT"/>
        </w:rPr>
        <w:t>•</w:t>
      </w:r>
      <w:r>
        <w:rPr>
          <w:rFonts w:ascii="ArialMT" w:hAnsi="ArialMT" w:cs="ArialMT"/>
          <w:sz w:val="36"/>
          <w:szCs w:val="36"/>
        </w:rPr>
        <w:t xml:space="preserve"> </w:t>
      </w:r>
      <w:r w:rsidRPr="0032472A">
        <w:rPr>
          <w:rFonts w:ascii="Arial" w:hAnsi="Arial" w:cs="Arial"/>
        </w:rPr>
        <w:t>Study leave and mandatory training</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Prospective cover for study leave</w:t>
      </w:r>
    </w:p>
    <w:p w:rsidR="009C6CBB" w:rsidRPr="007F7FED" w:rsidRDefault="009C6CBB" w:rsidP="009C6CBB">
      <w:pPr>
        <w:autoSpaceDE w:val="0"/>
        <w:autoSpaceDN w:val="0"/>
        <w:adjustRightInd w:val="0"/>
        <w:spacing w:after="0" w:line="240" w:lineRule="auto"/>
        <w:rPr>
          <w:rFonts w:ascii="Arial" w:hAnsi="Arial" w:cs="Arial"/>
          <w:sz w:val="36"/>
          <w:szCs w:val="36"/>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Code of practice</w:t>
      </w:r>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Default="009C6CBB" w:rsidP="009C6CBB">
      <w:pPr>
        <w:autoSpaceDE w:val="0"/>
        <w:autoSpaceDN w:val="0"/>
        <w:adjustRightInd w:val="0"/>
        <w:spacing w:after="0" w:line="240" w:lineRule="auto"/>
        <w:rPr>
          <w:rFonts w:ascii="Arial" w:hAnsi="Arial" w:cs="Arial"/>
          <w:sz w:val="36"/>
          <w:szCs w:val="36"/>
        </w:rPr>
      </w:pPr>
      <w:r w:rsidRPr="0032472A">
        <w:rPr>
          <w:rFonts w:ascii="Arial" w:hAnsi="Arial" w:cs="Arial"/>
        </w:rPr>
        <w:t>• 8/6 week notification provisions, with supporting caveats</w:t>
      </w:r>
      <w:r>
        <w:rPr>
          <w:rFonts w:ascii="Arial" w:hAnsi="Arial" w:cs="Arial"/>
          <w:sz w:val="36"/>
          <w:szCs w:val="36"/>
        </w:rPr>
        <w:t>.</w:t>
      </w:r>
    </w:p>
    <w:p w:rsidR="009C6CBB" w:rsidRDefault="009C6CBB" w:rsidP="009C6CBB">
      <w:pPr>
        <w:autoSpaceDE w:val="0"/>
        <w:autoSpaceDN w:val="0"/>
        <w:adjustRightInd w:val="0"/>
        <w:spacing w:after="0" w:line="240" w:lineRule="auto"/>
        <w:rPr>
          <w:rFonts w:ascii="Arial" w:hAnsi="Arial" w:cs="Arial"/>
          <w:sz w:val="38"/>
          <w:szCs w:val="38"/>
        </w:rPr>
      </w:pPr>
    </w:p>
    <w:p w:rsidR="009C6CBB" w:rsidRPr="009C6CBB" w:rsidRDefault="009C6CBB" w:rsidP="009C6CBB">
      <w:pPr>
        <w:autoSpaceDE w:val="0"/>
        <w:autoSpaceDN w:val="0"/>
        <w:adjustRightInd w:val="0"/>
        <w:spacing w:after="0" w:line="240" w:lineRule="auto"/>
        <w:rPr>
          <w:rFonts w:ascii="Arial" w:hAnsi="Arial" w:cs="Arial"/>
          <w:b/>
          <w:u w:val="single"/>
        </w:rPr>
      </w:pPr>
      <w:r w:rsidRPr="009C6CBB">
        <w:rPr>
          <w:rFonts w:ascii="Arial" w:hAnsi="Arial" w:cs="Arial"/>
          <w:b/>
          <w:u w:val="single"/>
        </w:rPr>
        <w:t>Introduction of the fifth nodal point</w:t>
      </w:r>
    </w:p>
    <w:p w:rsidR="009C6CBB" w:rsidRPr="00E530D3" w:rsidRDefault="009C6CBB" w:rsidP="009C6CBB">
      <w:pPr>
        <w:autoSpaceDE w:val="0"/>
        <w:autoSpaceDN w:val="0"/>
        <w:adjustRightInd w:val="0"/>
        <w:spacing w:after="0" w:line="240" w:lineRule="auto"/>
        <w:rPr>
          <w:rFonts w:ascii="Arial" w:hAnsi="Arial" w:cs="Arial"/>
          <w:b/>
          <w:sz w:val="36"/>
          <w:szCs w:val="36"/>
          <w:u w:val="single"/>
        </w:rPr>
      </w:pP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1 October 2020 the value will be £3,000 [£52,036]</w:t>
      </w:r>
    </w:p>
    <w:p w:rsidR="009C6CBB" w:rsidRPr="0032472A" w:rsidRDefault="009C6CBB" w:rsidP="009C6CBB">
      <w:pPr>
        <w:autoSpaceDE w:val="0"/>
        <w:autoSpaceDN w:val="0"/>
        <w:adjustRightInd w:val="0"/>
        <w:spacing w:after="0" w:line="240" w:lineRule="auto"/>
        <w:rPr>
          <w:rFonts w:ascii="Arial" w:hAnsi="Arial" w:cs="Arial"/>
        </w:rPr>
      </w:pPr>
      <w:r w:rsidRPr="0032472A">
        <w:rPr>
          <w:rFonts w:ascii="Arial" w:hAnsi="Arial" w:cs="Arial"/>
        </w:rPr>
        <w:t>• 1 October 2021 the value will increase to £6,000 [£56,077]</w:t>
      </w:r>
    </w:p>
    <w:p w:rsidR="009C6CBB" w:rsidRPr="0032472A" w:rsidRDefault="009C6CBB" w:rsidP="009C6CBB">
      <w:pPr>
        <w:pStyle w:val="ListParagraph"/>
        <w:spacing w:after="0" w:line="240" w:lineRule="auto"/>
        <w:ind w:left="0"/>
        <w:contextualSpacing/>
        <w:jc w:val="both"/>
        <w:rPr>
          <w:rFonts w:ascii="Arial" w:hAnsi="Arial" w:cs="Arial"/>
          <w:noProof/>
          <w:lang w:eastAsia="en-GB"/>
        </w:rPr>
      </w:pPr>
      <w:r w:rsidRPr="0032472A">
        <w:rPr>
          <w:rFonts w:ascii="Arial" w:hAnsi="Arial" w:cs="Arial"/>
        </w:rPr>
        <w:t>• 1 April 2022 the value will increase to £7,200 [£58,398]</w:t>
      </w:r>
    </w:p>
    <w:p w:rsidR="00346098" w:rsidRPr="00F3792D" w:rsidRDefault="00346098" w:rsidP="00577A30">
      <w:pPr>
        <w:pStyle w:val="ListParagraph"/>
        <w:ind w:left="0"/>
        <w:contextualSpacing/>
        <w:jc w:val="both"/>
        <w:rPr>
          <w:rFonts w:ascii="Arial" w:hAnsi="Arial" w:cs="Arial"/>
          <w:i/>
          <w:sz w:val="16"/>
          <w:szCs w:val="16"/>
        </w:rPr>
      </w:pPr>
    </w:p>
    <w:sectPr w:rsidR="00346098" w:rsidRPr="00F3792D" w:rsidSect="006D4B22">
      <w:footerReference w:type="default" r:id="rId18"/>
      <w:headerReference w:type="first" r:id="rId19"/>
      <w:pgSz w:w="11906" w:h="16838"/>
      <w:pgMar w:top="124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98" w:rsidRDefault="00346098">
      <w:pPr>
        <w:spacing w:after="0" w:line="240" w:lineRule="auto"/>
      </w:pPr>
      <w:r>
        <w:separator/>
      </w:r>
    </w:p>
  </w:endnote>
  <w:endnote w:type="continuationSeparator" w:id="0">
    <w:p w:rsidR="00346098" w:rsidRDefault="0034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98" w:rsidRPr="00B51597" w:rsidRDefault="00346098">
    <w:pPr>
      <w:pStyle w:val="Footer"/>
      <w:jc w:val="right"/>
      <w:rPr>
        <w:rFonts w:ascii="Arial" w:hAnsi="Arial" w:cs="Arial"/>
        <w:sz w:val="16"/>
        <w:szCs w:val="16"/>
      </w:rPr>
    </w:pPr>
    <w:r w:rsidRPr="00B51597">
      <w:rPr>
        <w:rFonts w:ascii="Arial" w:hAnsi="Arial" w:cs="Arial"/>
        <w:sz w:val="16"/>
        <w:szCs w:val="16"/>
      </w:rPr>
      <w:t xml:space="preserve">Page </w:t>
    </w:r>
    <w:r w:rsidRPr="00B51597">
      <w:rPr>
        <w:rFonts w:ascii="Arial" w:hAnsi="Arial" w:cs="Arial"/>
        <w:b/>
        <w:bCs/>
        <w:sz w:val="16"/>
        <w:szCs w:val="16"/>
      </w:rPr>
      <w:fldChar w:fldCharType="begin"/>
    </w:r>
    <w:r w:rsidRPr="00B51597">
      <w:rPr>
        <w:rFonts w:ascii="Arial" w:hAnsi="Arial" w:cs="Arial"/>
        <w:b/>
        <w:bCs/>
        <w:sz w:val="16"/>
        <w:szCs w:val="16"/>
      </w:rPr>
      <w:instrText xml:space="preserve"> PAGE </w:instrText>
    </w:r>
    <w:r w:rsidRPr="00B51597">
      <w:rPr>
        <w:rFonts w:ascii="Arial" w:hAnsi="Arial" w:cs="Arial"/>
        <w:b/>
        <w:bCs/>
        <w:sz w:val="16"/>
        <w:szCs w:val="16"/>
      </w:rPr>
      <w:fldChar w:fldCharType="separate"/>
    </w:r>
    <w:r w:rsidR="00C05972">
      <w:rPr>
        <w:rFonts w:ascii="Arial" w:hAnsi="Arial" w:cs="Arial"/>
        <w:b/>
        <w:bCs/>
        <w:noProof/>
        <w:sz w:val="16"/>
        <w:szCs w:val="16"/>
      </w:rPr>
      <w:t>2</w:t>
    </w:r>
    <w:r w:rsidRPr="00B51597">
      <w:rPr>
        <w:rFonts w:ascii="Arial" w:hAnsi="Arial" w:cs="Arial"/>
        <w:b/>
        <w:bCs/>
        <w:sz w:val="16"/>
        <w:szCs w:val="16"/>
      </w:rPr>
      <w:fldChar w:fldCharType="end"/>
    </w:r>
    <w:r w:rsidRPr="00B51597">
      <w:rPr>
        <w:rFonts w:ascii="Arial" w:hAnsi="Arial" w:cs="Arial"/>
        <w:sz w:val="16"/>
        <w:szCs w:val="16"/>
      </w:rPr>
      <w:t xml:space="preserve"> of </w:t>
    </w:r>
    <w:r w:rsidRPr="00B51597">
      <w:rPr>
        <w:rFonts w:ascii="Arial" w:hAnsi="Arial" w:cs="Arial"/>
        <w:b/>
        <w:bCs/>
        <w:sz w:val="16"/>
        <w:szCs w:val="16"/>
      </w:rPr>
      <w:fldChar w:fldCharType="begin"/>
    </w:r>
    <w:r w:rsidRPr="00B51597">
      <w:rPr>
        <w:rFonts w:ascii="Arial" w:hAnsi="Arial" w:cs="Arial"/>
        <w:b/>
        <w:bCs/>
        <w:sz w:val="16"/>
        <w:szCs w:val="16"/>
      </w:rPr>
      <w:instrText xml:space="preserve"> NUMPAGES  </w:instrText>
    </w:r>
    <w:r w:rsidRPr="00B51597">
      <w:rPr>
        <w:rFonts w:ascii="Arial" w:hAnsi="Arial" w:cs="Arial"/>
        <w:b/>
        <w:bCs/>
        <w:sz w:val="16"/>
        <w:szCs w:val="16"/>
      </w:rPr>
      <w:fldChar w:fldCharType="separate"/>
    </w:r>
    <w:r w:rsidR="00C05972">
      <w:rPr>
        <w:rFonts w:ascii="Arial" w:hAnsi="Arial" w:cs="Arial"/>
        <w:b/>
        <w:bCs/>
        <w:noProof/>
        <w:sz w:val="16"/>
        <w:szCs w:val="16"/>
      </w:rPr>
      <w:t>25</w:t>
    </w:r>
    <w:r w:rsidRPr="00B51597">
      <w:rPr>
        <w:rFonts w:ascii="Arial" w:hAnsi="Arial" w:cs="Arial"/>
        <w:b/>
        <w:bCs/>
        <w:sz w:val="16"/>
        <w:szCs w:val="16"/>
      </w:rPr>
      <w:fldChar w:fldCharType="end"/>
    </w:r>
  </w:p>
  <w:p w:rsidR="00346098" w:rsidRDefault="00346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98" w:rsidRDefault="00346098">
      <w:pPr>
        <w:spacing w:after="0" w:line="240" w:lineRule="auto"/>
      </w:pPr>
      <w:r>
        <w:separator/>
      </w:r>
    </w:p>
  </w:footnote>
  <w:footnote w:type="continuationSeparator" w:id="0">
    <w:p w:rsidR="00346098" w:rsidRDefault="00346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98" w:rsidRDefault="00346098" w:rsidP="001F1D09">
    <w:pPr>
      <w:pStyle w:val="Header"/>
      <w:jc w:val="right"/>
      <w:rPr>
        <w:rFonts w:ascii="Arial" w:hAnsi="Arial" w:cs="Arial"/>
        <w:sz w:val="22"/>
      </w:rPr>
    </w:pPr>
    <w:r>
      <w:rPr>
        <w:rFonts w:ascii="Arial" w:hAnsi="Arial" w:cs="Arial"/>
        <w:sz w:val="22"/>
      </w:rPr>
      <w:t>Agenda Item X</w:t>
    </w:r>
  </w:p>
  <w:p w:rsidR="00346098" w:rsidRPr="001F1D09" w:rsidRDefault="00346098" w:rsidP="001F1D09">
    <w:pPr>
      <w:pStyle w:val="Header"/>
      <w:jc w:val="right"/>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061B"/>
    <w:multiLevelType w:val="multilevel"/>
    <w:tmpl w:val="974491E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976D0E"/>
    <w:multiLevelType w:val="hybridMultilevel"/>
    <w:tmpl w:val="A7608216"/>
    <w:lvl w:ilvl="0" w:tplc="4B461986">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301E9"/>
    <w:multiLevelType w:val="hybridMultilevel"/>
    <w:tmpl w:val="FD0C4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A44561"/>
    <w:multiLevelType w:val="multilevel"/>
    <w:tmpl w:val="FB1E600C"/>
    <w:lvl w:ilvl="0">
      <w:start w:val="1"/>
      <w:numFmt w:val="decimal"/>
      <w:lvlText w:val="%1."/>
      <w:lvlJc w:val="left"/>
      <w:pPr>
        <w:ind w:left="360" w:hanging="360"/>
      </w:pPr>
    </w:lvl>
    <w:lvl w:ilvl="1">
      <w:start w:val="8"/>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38A1F4B"/>
    <w:multiLevelType w:val="hybridMultilevel"/>
    <w:tmpl w:val="61D4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EE3AC6"/>
    <w:multiLevelType w:val="hybridMultilevel"/>
    <w:tmpl w:val="C0D8CD3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A5D4F70"/>
    <w:multiLevelType w:val="hybridMultilevel"/>
    <w:tmpl w:val="B99AD4FA"/>
    <w:lvl w:ilvl="0" w:tplc="335E1B6E">
      <w:numFmt w:val="bullet"/>
      <w:lvlText w:val="-"/>
      <w:lvlJc w:val="left"/>
      <w:pPr>
        <w:ind w:left="720" w:hanging="360"/>
      </w:pPr>
      <w:rPr>
        <w:rFonts w:ascii="CourierNewPSMT" w:eastAsiaTheme="minorHAnsi" w:hAnsi="CourierNewPSMT"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BD"/>
    <w:rsid w:val="0000301F"/>
    <w:rsid w:val="000044CB"/>
    <w:rsid w:val="00005CB1"/>
    <w:rsid w:val="0000612C"/>
    <w:rsid w:val="00010D82"/>
    <w:rsid w:val="00011E04"/>
    <w:rsid w:val="000122E1"/>
    <w:rsid w:val="0001349E"/>
    <w:rsid w:val="0001517E"/>
    <w:rsid w:val="0003038C"/>
    <w:rsid w:val="00031118"/>
    <w:rsid w:val="00031786"/>
    <w:rsid w:val="000353A4"/>
    <w:rsid w:val="00047BC2"/>
    <w:rsid w:val="00064628"/>
    <w:rsid w:val="00066484"/>
    <w:rsid w:val="0007131B"/>
    <w:rsid w:val="00076689"/>
    <w:rsid w:val="00077D35"/>
    <w:rsid w:val="00077E45"/>
    <w:rsid w:val="00080475"/>
    <w:rsid w:val="00083B0B"/>
    <w:rsid w:val="000843CC"/>
    <w:rsid w:val="00086035"/>
    <w:rsid w:val="00091BBB"/>
    <w:rsid w:val="00093A88"/>
    <w:rsid w:val="00094EC0"/>
    <w:rsid w:val="0009641A"/>
    <w:rsid w:val="000968AA"/>
    <w:rsid w:val="000A0CB5"/>
    <w:rsid w:val="000A1C9F"/>
    <w:rsid w:val="000A34EB"/>
    <w:rsid w:val="000A52D1"/>
    <w:rsid w:val="000A68C1"/>
    <w:rsid w:val="000B0733"/>
    <w:rsid w:val="000B3C4B"/>
    <w:rsid w:val="000B4890"/>
    <w:rsid w:val="000D6388"/>
    <w:rsid w:val="000D6641"/>
    <w:rsid w:val="000E5E93"/>
    <w:rsid w:val="000F0BAA"/>
    <w:rsid w:val="000F3717"/>
    <w:rsid w:val="000F4CE8"/>
    <w:rsid w:val="000F5DAE"/>
    <w:rsid w:val="000F69E6"/>
    <w:rsid w:val="0010691F"/>
    <w:rsid w:val="001125B2"/>
    <w:rsid w:val="00113159"/>
    <w:rsid w:val="001137F4"/>
    <w:rsid w:val="001147DB"/>
    <w:rsid w:val="00114882"/>
    <w:rsid w:val="00114F44"/>
    <w:rsid w:val="00116A60"/>
    <w:rsid w:val="001178E7"/>
    <w:rsid w:val="0011798D"/>
    <w:rsid w:val="00123E23"/>
    <w:rsid w:val="001309EC"/>
    <w:rsid w:val="00131853"/>
    <w:rsid w:val="00134602"/>
    <w:rsid w:val="001348C2"/>
    <w:rsid w:val="00143587"/>
    <w:rsid w:val="00147158"/>
    <w:rsid w:val="00147339"/>
    <w:rsid w:val="00152FDB"/>
    <w:rsid w:val="0015710A"/>
    <w:rsid w:val="00162975"/>
    <w:rsid w:val="00162AD9"/>
    <w:rsid w:val="00165622"/>
    <w:rsid w:val="001673CF"/>
    <w:rsid w:val="00170CB8"/>
    <w:rsid w:val="00171AB5"/>
    <w:rsid w:val="001756C5"/>
    <w:rsid w:val="001776B1"/>
    <w:rsid w:val="001815C9"/>
    <w:rsid w:val="00187A4C"/>
    <w:rsid w:val="00190312"/>
    <w:rsid w:val="00190517"/>
    <w:rsid w:val="001916B6"/>
    <w:rsid w:val="001939E9"/>
    <w:rsid w:val="00196C87"/>
    <w:rsid w:val="001A1080"/>
    <w:rsid w:val="001A1937"/>
    <w:rsid w:val="001A2CD5"/>
    <w:rsid w:val="001B051B"/>
    <w:rsid w:val="001B28BF"/>
    <w:rsid w:val="001B3EAE"/>
    <w:rsid w:val="001C302C"/>
    <w:rsid w:val="001C4518"/>
    <w:rsid w:val="001C540F"/>
    <w:rsid w:val="001C5C98"/>
    <w:rsid w:val="001C7A6A"/>
    <w:rsid w:val="001D041E"/>
    <w:rsid w:val="001D6923"/>
    <w:rsid w:val="001E6252"/>
    <w:rsid w:val="001F1D09"/>
    <w:rsid w:val="001F4523"/>
    <w:rsid w:val="00203158"/>
    <w:rsid w:val="0020464B"/>
    <w:rsid w:val="00213F9D"/>
    <w:rsid w:val="00216F3D"/>
    <w:rsid w:val="00221CCE"/>
    <w:rsid w:val="0022761E"/>
    <w:rsid w:val="0023190D"/>
    <w:rsid w:val="00232C89"/>
    <w:rsid w:val="002368C9"/>
    <w:rsid w:val="00254530"/>
    <w:rsid w:val="00254D4C"/>
    <w:rsid w:val="00256B96"/>
    <w:rsid w:val="00256D0E"/>
    <w:rsid w:val="00257170"/>
    <w:rsid w:val="0026067D"/>
    <w:rsid w:val="0027329D"/>
    <w:rsid w:val="00276AA0"/>
    <w:rsid w:val="0028018F"/>
    <w:rsid w:val="00280E0A"/>
    <w:rsid w:val="002829D6"/>
    <w:rsid w:val="002833D5"/>
    <w:rsid w:val="002841C6"/>
    <w:rsid w:val="0028612C"/>
    <w:rsid w:val="00286B73"/>
    <w:rsid w:val="002920D8"/>
    <w:rsid w:val="00292D13"/>
    <w:rsid w:val="00293483"/>
    <w:rsid w:val="002A054E"/>
    <w:rsid w:val="002A064F"/>
    <w:rsid w:val="002A2CD8"/>
    <w:rsid w:val="002A4C73"/>
    <w:rsid w:val="002A5827"/>
    <w:rsid w:val="002B2AB5"/>
    <w:rsid w:val="002B74F1"/>
    <w:rsid w:val="002B793A"/>
    <w:rsid w:val="002C246E"/>
    <w:rsid w:val="002C47CE"/>
    <w:rsid w:val="002D10AD"/>
    <w:rsid w:val="002D1DE4"/>
    <w:rsid w:val="002E0C67"/>
    <w:rsid w:val="002E5798"/>
    <w:rsid w:val="002F1B5C"/>
    <w:rsid w:val="002F24D5"/>
    <w:rsid w:val="002F40F8"/>
    <w:rsid w:val="002F7DCC"/>
    <w:rsid w:val="00300F89"/>
    <w:rsid w:val="00304BD2"/>
    <w:rsid w:val="00306D2F"/>
    <w:rsid w:val="003075C7"/>
    <w:rsid w:val="003164FA"/>
    <w:rsid w:val="0032192D"/>
    <w:rsid w:val="0032472A"/>
    <w:rsid w:val="00330C12"/>
    <w:rsid w:val="00334106"/>
    <w:rsid w:val="00335DCA"/>
    <w:rsid w:val="00337028"/>
    <w:rsid w:val="003404A6"/>
    <w:rsid w:val="00343D24"/>
    <w:rsid w:val="00346098"/>
    <w:rsid w:val="00352B3D"/>
    <w:rsid w:val="00356F56"/>
    <w:rsid w:val="00361A41"/>
    <w:rsid w:val="00367789"/>
    <w:rsid w:val="00367B18"/>
    <w:rsid w:val="00371020"/>
    <w:rsid w:val="00371BFB"/>
    <w:rsid w:val="00372531"/>
    <w:rsid w:val="0039059A"/>
    <w:rsid w:val="00395E7E"/>
    <w:rsid w:val="0039708A"/>
    <w:rsid w:val="003A4803"/>
    <w:rsid w:val="003A77D8"/>
    <w:rsid w:val="003B2FEA"/>
    <w:rsid w:val="003B3672"/>
    <w:rsid w:val="003C5FF1"/>
    <w:rsid w:val="003C7727"/>
    <w:rsid w:val="003D0347"/>
    <w:rsid w:val="003D1113"/>
    <w:rsid w:val="003D6411"/>
    <w:rsid w:val="003E251B"/>
    <w:rsid w:val="003E75F1"/>
    <w:rsid w:val="003F0283"/>
    <w:rsid w:val="003F4E2A"/>
    <w:rsid w:val="0040040D"/>
    <w:rsid w:val="00402A1C"/>
    <w:rsid w:val="00411E2D"/>
    <w:rsid w:val="00413AC4"/>
    <w:rsid w:val="00417520"/>
    <w:rsid w:val="00420349"/>
    <w:rsid w:val="00420C55"/>
    <w:rsid w:val="00423BDF"/>
    <w:rsid w:val="004332D3"/>
    <w:rsid w:val="00435009"/>
    <w:rsid w:val="0043500F"/>
    <w:rsid w:val="0044029E"/>
    <w:rsid w:val="004411D9"/>
    <w:rsid w:val="00452265"/>
    <w:rsid w:val="004635A9"/>
    <w:rsid w:val="00463DBE"/>
    <w:rsid w:val="00464AF8"/>
    <w:rsid w:val="0046718E"/>
    <w:rsid w:val="00467F8F"/>
    <w:rsid w:val="00471B25"/>
    <w:rsid w:val="004737B1"/>
    <w:rsid w:val="004758DD"/>
    <w:rsid w:val="00477E33"/>
    <w:rsid w:val="00483C61"/>
    <w:rsid w:val="00485107"/>
    <w:rsid w:val="00485D2D"/>
    <w:rsid w:val="0048644D"/>
    <w:rsid w:val="00492957"/>
    <w:rsid w:val="00493341"/>
    <w:rsid w:val="00493AEC"/>
    <w:rsid w:val="0049543D"/>
    <w:rsid w:val="00495BD2"/>
    <w:rsid w:val="0049756F"/>
    <w:rsid w:val="00497907"/>
    <w:rsid w:val="004A160B"/>
    <w:rsid w:val="004A7ADE"/>
    <w:rsid w:val="004B3128"/>
    <w:rsid w:val="004B31E8"/>
    <w:rsid w:val="004C0EF4"/>
    <w:rsid w:val="004C4197"/>
    <w:rsid w:val="004D5E38"/>
    <w:rsid w:val="004D6163"/>
    <w:rsid w:val="004E2083"/>
    <w:rsid w:val="004E3FB2"/>
    <w:rsid w:val="004F23AC"/>
    <w:rsid w:val="004F471F"/>
    <w:rsid w:val="004F6056"/>
    <w:rsid w:val="00500BF1"/>
    <w:rsid w:val="0050163B"/>
    <w:rsid w:val="00502D2E"/>
    <w:rsid w:val="005102F5"/>
    <w:rsid w:val="00511A7D"/>
    <w:rsid w:val="00513C77"/>
    <w:rsid w:val="00516EA1"/>
    <w:rsid w:val="00520695"/>
    <w:rsid w:val="0052096F"/>
    <w:rsid w:val="005231F7"/>
    <w:rsid w:val="005236B5"/>
    <w:rsid w:val="0052422B"/>
    <w:rsid w:val="00525D7B"/>
    <w:rsid w:val="00527422"/>
    <w:rsid w:val="00541E87"/>
    <w:rsid w:val="0054518D"/>
    <w:rsid w:val="00545BCD"/>
    <w:rsid w:val="0054665F"/>
    <w:rsid w:val="0055757F"/>
    <w:rsid w:val="00561CC8"/>
    <w:rsid w:val="00565305"/>
    <w:rsid w:val="00567A71"/>
    <w:rsid w:val="005723E6"/>
    <w:rsid w:val="00576C9E"/>
    <w:rsid w:val="00577A30"/>
    <w:rsid w:val="00580E4B"/>
    <w:rsid w:val="00584DCA"/>
    <w:rsid w:val="0058587D"/>
    <w:rsid w:val="005932C4"/>
    <w:rsid w:val="005961C6"/>
    <w:rsid w:val="005976DA"/>
    <w:rsid w:val="005A4B23"/>
    <w:rsid w:val="005A60FE"/>
    <w:rsid w:val="005A7D78"/>
    <w:rsid w:val="005B1E63"/>
    <w:rsid w:val="005C01FD"/>
    <w:rsid w:val="005C2C33"/>
    <w:rsid w:val="005C5538"/>
    <w:rsid w:val="005D0D79"/>
    <w:rsid w:val="005D5C0F"/>
    <w:rsid w:val="005D5D4F"/>
    <w:rsid w:val="005D7110"/>
    <w:rsid w:val="005E0EDA"/>
    <w:rsid w:val="005E5466"/>
    <w:rsid w:val="005E5494"/>
    <w:rsid w:val="005E5CDF"/>
    <w:rsid w:val="005E623B"/>
    <w:rsid w:val="005F139D"/>
    <w:rsid w:val="005F573D"/>
    <w:rsid w:val="0060399D"/>
    <w:rsid w:val="00612252"/>
    <w:rsid w:val="00613D90"/>
    <w:rsid w:val="00613F23"/>
    <w:rsid w:val="0061712E"/>
    <w:rsid w:val="00620B8F"/>
    <w:rsid w:val="0062294D"/>
    <w:rsid w:val="006238EC"/>
    <w:rsid w:val="006258AB"/>
    <w:rsid w:val="006316FE"/>
    <w:rsid w:val="006317B5"/>
    <w:rsid w:val="00632B5F"/>
    <w:rsid w:val="0063357D"/>
    <w:rsid w:val="00644CB5"/>
    <w:rsid w:val="00647B07"/>
    <w:rsid w:val="006518EF"/>
    <w:rsid w:val="00653975"/>
    <w:rsid w:val="00654334"/>
    <w:rsid w:val="00654BC1"/>
    <w:rsid w:val="00655763"/>
    <w:rsid w:val="00661246"/>
    <w:rsid w:val="006633B0"/>
    <w:rsid w:val="00664C80"/>
    <w:rsid w:val="006669C0"/>
    <w:rsid w:val="0067129B"/>
    <w:rsid w:val="0067181A"/>
    <w:rsid w:val="00675B52"/>
    <w:rsid w:val="00677EE1"/>
    <w:rsid w:val="0068028A"/>
    <w:rsid w:val="00684872"/>
    <w:rsid w:val="006923BA"/>
    <w:rsid w:val="00692A26"/>
    <w:rsid w:val="006A3843"/>
    <w:rsid w:val="006A673C"/>
    <w:rsid w:val="006A6913"/>
    <w:rsid w:val="006B2BC3"/>
    <w:rsid w:val="006B309E"/>
    <w:rsid w:val="006B40A0"/>
    <w:rsid w:val="006B493D"/>
    <w:rsid w:val="006B4E25"/>
    <w:rsid w:val="006B6766"/>
    <w:rsid w:val="006C0FDC"/>
    <w:rsid w:val="006C239C"/>
    <w:rsid w:val="006C4851"/>
    <w:rsid w:val="006D4B22"/>
    <w:rsid w:val="006E1B82"/>
    <w:rsid w:val="006E4359"/>
    <w:rsid w:val="006E7951"/>
    <w:rsid w:val="006E7BC1"/>
    <w:rsid w:val="006F1506"/>
    <w:rsid w:val="006F5AB1"/>
    <w:rsid w:val="007012DE"/>
    <w:rsid w:val="0070260B"/>
    <w:rsid w:val="00702ADF"/>
    <w:rsid w:val="007129AF"/>
    <w:rsid w:val="00712D12"/>
    <w:rsid w:val="007138F5"/>
    <w:rsid w:val="007202D5"/>
    <w:rsid w:val="00722FFD"/>
    <w:rsid w:val="00732051"/>
    <w:rsid w:val="00740B98"/>
    <w:rsid w:val="00741EE8"/>
    <w:rsid w:val="0074454E"/>
    <w:rsid w:val="00745E3B"/>
    <w:rsid w:val="00754AE1"/>
    <w:rsid w:val="0075529F"/>
    <w:rsid w:val="00761941"/>
    <w:rsid w:val="00764913"/>
    <w:rsid w:val="00764EF2"/>
    <w:rsid w:val="0076712A"/>
    <w:rsid w:val="0077565C"/>
    <w:rsid w:val="00775B8B"/>
    <w:rsid w:val="00784AD8"/>
    <w:rsid w:val="00786432"/>
    <w:rsid w:val="00786574"/>
    <w:rsid w:val="007866B1"/>
    <w:rsid w:val="00786C22"/>
    <w:rsid w:val="0078793F"/>
    <w:rsid w:val="007921D3"/>
    <w:rsid w:val="007A7BB0"/>
    <w:rsid w:val="007B0764"/>
    <w:rsid w:val="007B1A1C"/>
    <w:rsid w:val="007B61EC"/>
    <w:rsid w:val="007C0C66"/>
    <w:rsid w:val="007C232C"/>
    <w:rsid w:val="007C4421"/>
    <w:rsid w:val="007C510F"/>
    <w:rsid w:val="007D1418"/>
    <w:rsid w:val="007D4127"/>
    <w:rsid w:val="007D4FB5"/>
    <w:rsid w:val="007D5C55"/>
    <w:rsid w:val="007E142A"/>
    <w:rsid w:val="007E16E0"/>
    <w:rsid w:val="007E49EB"/>
    <w:rsid w:val="007E7F61"/>
    <w:rsid w:val="007F01ED"/>
    <w:rsid w:val="007F2A21"/>
    <w:rsid w:val="007F39B8"/>
    <w:rsid w:val="007F7DBD"/>
    <w:rsid w:val="00801980"/>
    <w:rsid w:val="00805A41"/>
    <w:rsid w:val="008077AC"/>
    <w:rsid w:val="00814098"/>
    <w:rsid w:val="0081492D"/>
    <w:rsid w:val="00817C93"/>
    <w:rsid w:val="008245EF"/>
    <w:rsid w:val="008246BE"/>
    <w:rsid w:val="00836765"/>
    <w:rsid w:val="00841A53"/>
    <w:rsid w:val="00842141"/>
    <w:rsid w:val="0084503A"/>
    <w:rsid w:val="00847700"/>
    <w:rsid w:val="0085088E"/>
    <w:rsid w:val="00857770"/>
    <w:rsid w:val="008651A4"/>
    <w:rsid w:val="008651D5"/>
    <w:rsid w:val="008655E0"/>
    <w:rsid w:val="00872D94"/>
    <w:rsid w:val="008736D5"/>
    <w:rsid w:val="0087663A"/>
    <w:rsid w:val="008879A6"/>
    <w:rsid w:val="00887CC0"/>
    <w:rsid w:val="00890659"/>
    <w:rsid w:val="00890761"/>
    <w:rsid w:val="00890C11"/>
    <w:rsid w:val="00894C7A"/>
    <w:rsid w:val="0089692D"/>
    <w:rsid w:val="008A4302"/>
    <w:rsid w:val="008A56F1"/>
    <w:rsid w:val="008A7052"/>
    <w:rsid w:val="008C0139"/>
    <w:rsid w:val="008C434E"/>
    <w:rsid w:val="008C4C21"/>
    <w:rsid w:val="008C5BC3"/>
    <w:rsid w:val="008C7476"/>
    <w:rsid w:val="008D0382"/>
    <w:rsid w:val="008D79BB"/>
    <w:rsid w:val="008E2000"/>
    <w:rsid w:val="008E5417"/>
    <w:rsid w:val="008F2AF7"/>
    <w:rsid w:val="008F37CE"/>
    <w:rsid w:val="00905726"/>
    <w:rsid w:val="00905B4E"/>
    <w:rsid w:val="00906762"/>
    <w:rsid w:val="0090692A"/>
    <w:rsid w:val="00907103"/>
    <w:rsid w:val="009071D8"/>
    <w:rsid w:val="00913850"/>
    <w:rsid w:val="0092253F"/>
    <w:rsid w:val="00922F34"/>
    <w:rsid w:val="00930966"/>
    <w:rsid w:val="00931D68"/>
    <w:rsid w:val="00937299"/>
    <w:rsid w:val="0094487D"/>
    <w:rsid w:val="009509D4"/>
    <w:rsid w:val="00953165"/>
    <w:rsid w:val="00953B7D"/>
    <w:rsid w:val="00955AE3"/>
    <w:rsid w:val="00957248"/>
    <w:rsid w:val="00961DA1"/>
    <w:rsid w:val="00964D7E"/>
    <w:rsid w:val="00964FE3"/>
    <w:rsid w:val="00966578"/>
    <w:rsid w:val="0096695A"/>
    <w:rsid w:val="00967209"/>
    <w:rsid w:val="0097054E"/>
    <w:rsid w:val="00971472"/>
    <w:rsid w:val="009802A6"/>
    <w:rsid w:val="00983D83"/>
    <w:rsid w:val="00986734"/>
    <w:rsid w:val="0099479D"/>
    <w:rsid w:val="009954A7"/>
    <w:rsid w:val="00997C9C"/>
    <w:rsid w:val="009A0A86"/>
    <w:rsid w:val="009A3088"/>
    <w:rsid w:val="009A5DD9"/>
    <w:rsid w:val="009B2055"/>
    <w:rsid w:val="009B61AB"/>
    <w:rsid w:val="009B6A14"/>
    <w:rsid w:val="009B768D"/>
    <w:rsid w:val="009C15FE"/>
    <w:rsid w:val="009C6CBB"/>
    <w:rsid w:val="009C6E33"/>
    <w:rsid w:val="009D2DE9"/>
    <w:rsid w:val="009D6866"/>
    <w:rsid w:val="009D69DF"/>
    <w:rsid w:val="009D6D61"/>
    <w:rsid w:val="009E1058"/>
    <w:rsid w:val="009E300F"/>
    <w:rsid w:val="009E6C9B"/>
    <w:rsid w:val="009E7AE6"/>
    <w:rsid w:val="009F275C"/>
    <w:rsid w:val="009F49F6"/>
    <w:rsid w:val="00A01048"/>
    <w:rsid w:val="00A01251"/>
    <w:rsid w:val="00A10603"/>
    <w:rsid w:val="00A12F93"/>
    <w:rsid w:val="00A139D2"/>
    <w:rsid w:val="00A16A08"/>
    <w:rsid w:val="00A22CEC"/>
    <w:rsid w:val="00A32608"/>
    <w:rsid w:val="00A33315"/>
    <w:rsid w:val="00A339DC"/>
    <w:rsid w:val="00A36E1B"/>
    <w:rsid w:val="00A36ECF"/>
    <w:rsid w:val="00A37499"/>
    <w:rsid w:val="00A45D70"/>
    <w:rsid w:val="00A4726E"/>
    <w:rsid w:val="00A47E7E"/>
    <w:rsid w:val="00A605E6"/>
    <w:rsid w:val="00A6350A"/>
    <w:rsid w:val="00A63FAB"/>
    <w:rsid w:val="00A67F8A"/>
    <w:rsid w:val="00A70F00"/>
    <w:rsid w:val="00A71A97"/>
    <w:rsid w:val="00A729D4"/>
    <w:rsid w:val="00A75E06"/>
    <w:rsid w:val="00A804F4"/>
    <w:rsid w:val="00A80AAE"/>
    <w:rsid w:val="00A87AAB"/>
    <w:rsid w:val="00A90781"/>
    <w:rsid w:val="00A92926"/>
    <w:rsid w:val="00A96DB8"/>
    <w:rsid w:val="00A978D1"/>
    <w:rsid w:val="00AA14E6"/>
    <w:rsid w:val="00AA5B40"/>
    <w:rsid w:val="00AA6FA6"/>
    <w:rsid w:val="00AB0819"/>
    <w:rsid w:val="00AB3558"/>
    <w:rsid w:val="00AB4CBA"/>
    <w:rsid w:val="00AB523C"/>
    <w:rsid w:val="00AC4D39"/>
    <w:rsid w:val="00AC7BC5"/>
    <w:rsid w:val="00AC7FEB"/>
    <w:rsid w:val="00AC7FF8"/>
    <w:rsid w:val="00AD2AF2"/>
    <w:rsid w:val="00AD4F4C"/>
    <w:rsid w:val="00AD5625"/>
    <w:rsid w:val="00AD66A8"/>
    <w:rsid w:val="00AE03E7"/>
    <w:rsid w:val="00AF2B07"/>
    <w:rsid w:val="00AF435E"/>
    <w:rsid w:val="00AF4837"/>
    <w:rsid w:val="00AF6059"/>
    <w:rsid w:val="00B027FA"/>
    <w:rsid w:val="00B02850"/>
    <w:rsid w:val="00B0650C"/>
    <w:rsid w:val="00B109AA"/>
    <w:rsid w:val="00B11BEB"/>
    <w:rsid w:val="00B2035B"/>
    <w:rsid w:val="00B24192"/>
    <w:rsid w:val="00B24C6A"/>
    <w:rsid w:val="00B26445"/>
    <w:rsid w:val="00B303A0"/>
    <w:rsid w:val="00B30DB1"/>
    <w:rsid w:val="00B311F9"/>
    <w:rsid w:val="00B318D0"/>
    <w:rsid w:val="00B3191D"/>
    <w:rsid w:val="00B350C4"/>
    <w:rsid w:val="00B40434"/>
    <w:rsid w:val="00B43B5E"/>
    <w:rsid w:val="00B46C5A"/>
    <w:rsid w:val="00B51597"/>
    <w:rsid w:val="00B516F6"/>
    <w:rsid w:val="00B552B2"/>
    <w:rsid w:val="00B5659C"/>
    <w:rsid w:val="00B5718D"/>
    <w:rsid w:val="00B606C0"/>
    <w:rsid w:val="00B63462"/>
    <w:rsid w:val="00B637ED"/>
    <w:rsid w:val="00B64CA7"/>
    <w:rsid w:val="00B71712"/>
    <w:rsid w:val="00B71FAA"/>
    <w:rsid w:val="00B8038C"/>
    <w:rsid w:val="00B82336"/>
    <w:rsid w:val="00B84B0D"/>
    <w:rsid w:val="00B84D96"/>
    <w:rsid w:val="00B92654"/>
    <w:rsid w:val="00B92F11"/>
    <w:rsid w:val="00BA0AF1"/>
    <w:rsid w:val="00BA184F"/>
    <w:rsid w:val="00BA1E46"/>
    <w:rsid w:val="00BA3720"/>
    <w:rsid w:val="00BA4155"/>
    <w:rsid w:val="00BA616E"/>
    <w:rsid w:val="00BB137A"/>
    <w:rsid w:val="00BB4846"/>
    <w:rsid w:val="00BB5AC6"/>
    <w:rsid w:val="00BC1EC0"/>
    <w:rsid w:val="00BC436E"/>
    <w:rsid w:val="00BD0BD5"/>
    <w:rsid w:val="00BD3EE8"/>
    <w:rsid w:val="00BD40C5"/>
    <w:rsid w:val="00BD4ECB"/>
    <w:rsid w:val="00BD5543"/>
    <w:rsid w:val="00BD75CC"/>
    <w:rsid w:val="00BE09C2"/>
    <w:rsid w:val="00BE0E77"/>
    <w:rsid w:val="00BE20D3"/>
    <w:rsid w:val="00BE3745"/>
    <w:rsid w:val="00BE5688"/>
    <w:rsid w:val="00BE6FA9"/>
    <w:rsid w:val="00BF14D5"/>
    <w:rsid w:val="00BF184D"/>
    <w:rsid w:val="00BF1C69"/>
    <w:rsid w:val="00BF5180"/>
    <w:rsid w:val="00C00136"/>
    <w:rsid w:val="00C00EC2"/>
    <w:rsid w:val="00C021A3"/>
    <w:rsid w:val="00C05522"/>
    <w:rsid w:val="00C05972"/>
    <w:rsid w:val="00C103EE"/>
    <w:rsid w:val="00C11654"/>
    <w:rsid w:val="00C13E9D"/>
    <w:rsid w:val="00C1543E"/>
    <w:rsid w:val="00C16D81"/>
    <w:rsid w:val="00C175B4"/>
    <w:rsid w:val="00C17EA8"/>
    <w:rsid w:val="00C20363"/>
    <w:rsid w:val="00C25DF8"/>
    <w:rsid w:val="00C304BA"/>
    <w:rsid w:val="00C3387B"/>
    <w:rsid w:val="00C3509C"/>
    <w:rsid w:val="00C40B89"/>
    <w:rsid w:val="00C51B7C"/>
    <w:rsid w:val="00C54564"/>
    <w:rsid w:val="00C61EB4"/>
    <w:rsid w:val="00C63371"/>
    <w:rsid w:val="00C645F3"/>
    <w:rsid w:val="00C70755"/>
    <w:rsid w:val="00C731CC"/>
    <w:rsid w:val="00C7358D"/>
    <w:rsid w:val="00C73D63"/>
    <w:rsid w:val="00C74433"/>
    <w:rsid w:val="00C7532A"/>
    <w:rsid w:val="00C775E8"/>
    <w:rsid w:val="00C825DF"/>
    <w:rsid w:val="00C82E04"/>
    <w:rsid w:val="00C90771"/>
    <w:rsid w:val="00C92777"/>
    <w:rsid w:val="00C92D06"/>
    <w:rsid w:val="00C93162"/>
    <w:rsid w:val="00C94ABA"/>
    <w:rsid w:val="00C96683"/>
    <w:rsid w:val="00CA048B"/>
    <w:rsid w:val="00CA1A67"/>
    <w:rsid w:val="00CA1C06"/>
    <w:rsid w:val="00CB255A"/>
    <w:rsid w:val="00CB783E"/>
    <w:rsid w:val="00CC3198"/>
    <w:rsid w:val="00CC3D56"/>
    <w:rsid w:val="00CC404A"/>
    <w:rsid w:val="00CC6454"/>
    <w:rsid w:val="00CC79E4"/>
    <w:rsid w:val="00CC7A99"/>
    <w:rsid w:val="00CD1F2C"/>
    <w:rsid w:val="00CD3522"/>
    <w:rsid w:val="00CE0326"/>
    <w:rsid w:val="00CF1505"/>
    <w:rsid w:val="00CF67E0"/>
    <w:rsid w:val="00D0052D"/>
    <w:rsid w:val="00D00542"/>
    <w:rsid w:val="00D14823"/>
    <w:rsid w:val="00D15764"/>
    <w:rsid w:val="00D22355"/>
    <w:rsid w:val="00D248E0"/>
    <w:rsid w:val="00D24959"/>
    <w:rsid w:val="00D264EC"/>
    <w:rsid w:val="00D315FD"/>
    <w:rsid w:val="00D31E6E"/>
    <w:rsid w:val="00D31F14"/>
    <w:rsid w:val="00D32DC3"/>
    <w:rsid w:val="00D40035"/>
    <w:rsid w:val="00D40A5A"/>
    <w:rsid w:val="00D41177"/>
    <w:rsid w:val="00D41866"/>
    <w:rsid w:val="00D41CE7"/>
    <w:rsid w:val="00D50C10"/>
    <w:rsid w:val="00D52E7F"/>
    <w:rsid w:val="00D52F59"/>
    <w:rsid w:val="00D536BE"/>
    <w:rsid w:val="00D57916"/>
    <w:rsid w:val="00D57F03"/>
    <w:rsid w:val="00D6128C"/>
    <w:rsid w:val="00D624DF"/>
    <w:rsid w:val="00D649F1"/>
    <w:rsid w:val="00D65FB7"/>
    <w:rsid w:val="00D75DB9"/>
    <w:rsid w:val="00D82B02"/>
    <w:rsid w:val="00D848CB"/>
    <w:rsid w:val="00D91B64"/>
    <w:rsid w:val="00D95311"/>
    <w:rsid w:val="00D9780B"/>
    <w:rsid w:val="00D97ACA"/>
    <w:rsid w:val="00DA5A64"/>
    <w:rsid w:val="00DA684E"/>
    <w:rsid w:val="00DB3292"/>
    <w:rsid w:val="00DB7C7C"/>
    <w:rsid w:val="00DB7F13"/>
    <w:rsid w:val="00DD1136"/>
    <w:rsid w:val="00DD3DFA"/>
    <w:rsid w:val="00DD4C00"/>
    <w:rsid w:val="00DD59F7"/>
    <w:rsid w:val="00DE09B6"/>
    <w:rsid w:val="00DE3F70"/>
    <w:rsid w:val="00DE6855"/>
    <w:rsid w:val="00DF2AB5"/>
    <w:rsid w:val="00DF3315"/>
    <w:rsid w:val="00E03B87"/>
    <w:rsid w:val="00E0648A"/>
    <w:rsid w:val="00E1065A"/>
    <w:rsid w:val="00E10B3B"/>
    <w:rsid w:val="00E1139E"/>
    <w:rsid w:val="00E20552"/>
    <w:rsid w:val="00E217C7"/>
    <w:rsid w:val="00E2354A"/>
    <w:rsid w:val="00E235A8"/>
    <w:rsid w:val="00E244CF"/>
    <w:rsid w:val="00E301C1"/>
    <w:rsid w:val="00E340F7"/>
    <w:rsid w:val="00E35236"/>
    <w:rsid w:val="00E355F8"/>
    <w:rsid w:val="00E37043"/>
    <w:rsid w:val="00E400FE"/>
    <w:rsid w:val="00E5309A"/>
    <w:rsid w:val="00E556BD"/>
    <w:rsid w:val="00E56011"/>
    <w:rsid w:val="00E56E3C"/>
    <w:rsid w:val="00E60FF8"/>
    <w:rsid w:val="00E6256D"/>
    <w:rsid w:val="00E65885"/>
    <w:rsid w:val="00E72128"/>
    <w:rsid w:val="00E728D7"/>
    <w:rsid w:val="00E739DC"/>
    <w:rsid w:val="00E82221"/>
    <w:rsid w:val="00E8748C"/>
    <w:rsid w:val="00E93549"/>
    <w:rsid w:val="00E95B09"/>
    <w:rsid w:val="00EA103D"/>
    <w:rsid w:val="00EA170D"/>
    <w:rsid w:val="00EB04B9"/>
    <w:rsid w:val="00EB4E47"/>
    <w:rsid w:val="00EC3129"/>
    <w:rsid w:val="00EC51A6"/>
    <w:rsid w:val="00EC7251"/>
    <w:rsid w:val="00ED5513"/>
    <w:rsid w:val="00ED78C6"/>
    <w:rsid w:val="00EE3D86"/>
    <w:rsid w:val="00EE4AFB"/>
    <w:rsid w:val="00EE6672"/>
    <w:rsid w:val="00EF0ED3"/>
    <w:rsid w:val="00EF26E2"/>
    <w:rsid w:val="00EF34F3"/>
    <w:rsid w:val="00EF457B"/>
    <w:rsid w:val="00EF4BD1"/>
    <w:rsid w:val="00EF4BF0"/>
    <w:rsid w:val="00EF4CFC"/>
    <w:rsid w:val="00F0289F"/>
    <w:rsid w:val="00F03D3B"/>
    <w:rsid w:val="00F05D90"/>
    <w:rsid w:val="00F06725"/>
    <w:rsid w:val="00F113B7"/>
    <w:rsid w:val="00F17D7F"/>
    <w:rsid w:val="00F20A1E"/>
    <w:rsid w:val="00F21FEF"/>
    <w:rsid w:val="00F254B3"/>
    <w:rsid w:val="00F25542"/>
    <w:rsid w:val="00F25BBA"/>
    <w:rsid w:val="00F27AB8"/>
    <w:rsid w:val="00F35A29"/>
    <w:rsid w:val="00F36CAC"/>
    <w:rsid w:val="00F3792D"/>
    <w:rsid w:val="00F40221"/>
    <w:rsid w:val="00F4377E"/>
    <w:rsid w:val="00F44F3E"/>
    <w:rsid w:val="00F45417"/>
    <w:rsid w:val="00F4619E"/>
    <w:rsid w:val="00F52C52"/>
    <w:rsid w:val="00F574BD"/>
    <w:rsid w:val="00F64753"/>
    <w:rsid w:val="00F650C7"/>
    <w:rsid w:val="00F65BFC"/>
    <w:rsid w:val="00F67B6B"/>
    <w:rsid w:val="00F716C6"/>
    <w:rsid w:val="00F75F0B"/>
    <w:rsid w:val="00F83E9E"/>
    <w:rsid w:val="00F85670"/>
    <w:rsid w:val="00F85F06"/>
    <w:rsid w:val="00F85FE6"/>
    <w:rsid w:val="00F8723D"/>
    <w:rsid w:val="00F9334D"/>
    <w:rsid w:val="00FA48D9"/>
    <w:rsid w:val="00FA5C0F"/>
    <w:rsid w:val="00FB1237"/>
    <w:rsid w:val="00FB7619"/>
    <w:rsid w:val="00FC18DA"/>
    <w:rsid w:val="00FC3ACD"/>
    <w:rsid w:val="00FC7B0D"/>
    <w:rsid w:val="00FD1C94"/>
    <w:rsid w:val="00FD31E0"/>
    <w:rsid w:val="00FD3749"/>
    <w:rsid w:val="00FE0E9D"/>
    <w:rsid w:val="00FE50B9"/>
    <w:rsid w:val="00FE5580"/>
    <w:rsid w:val="00FF100A"/>
    <w:rsid w:val="00FF31C4"/>
    <w:rsid w:val="00FF35DB"/>
    <w:rsid w:val="00FF3FEE"/>
    <w:rsid w:val="00FF419C"/>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E04"/>
    <w:rPr>
      <w:sz w:val="22"/>
      <w:szCs w:val="22"/>
      <w:lang w:eastAsia="en-US"/>
    </w:rPr>
  </w:style>
  <w:style w:type="paragraph" w:styleId="Header">
    <w:name w:val="header"/>
    <w:basedOn w:val="Normal"/>
    <w:link w:val="HeaderChar"/>
    <w:rsid w:val="007F7DBD"/>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7F7DBD"/>
    <w:rPr>
      <w:rFonts w:ascii="Times New Roman" w:eastAsia="Times New Roman" w:hAnsi="Times New Roman"/>
      <w:sz w:val="24"/>
      <w:szCs w:val="24"/>
    </w:rPr>
  </w:style>
  <w:style w:type="paragraph" w:styleId="Footer">
    <w:name w:val="footer"/>
    <w:basedOn w:val="Normal"/>
    <w:link w:val="FooterChar"/>
    <w:uiPriority w:val="99"/>
    <w:rsid w:val="007F7DBD"/>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F7DBD"/>
    <w:rPr>
      <w:rFonts w:ascii="Times New Roman" w:eastAsia="Times New Roman" w:hAnsi="Times New Roman"/>
      <w:sz w:val="24"/>
      <w:szCs w:val="24"/>
    </w:rPr>
  </w:style>
  <w:style w:type="table" w:styleId="TableGrid">
    <w:name w:val="Table Grid"/>
    <w:basedOn w:val="TableNormal"/>
    <w:uiPriority w:val="59"/>
    <w:rsid w:val="00D2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3D24"/>
    <w:rPr>
      <w:color w:val="0000FF"/>
      <w:u w:val="single"/>
    </w:rPr>
  </w:style>
  <w:style w:type="paragraph" w:styleId="BalloonText">
    <w:name w:val="Balloon Text"/>
    <w:basedOn w:val="Normal"/>
    <w:link w:val="BalloonTextChar"/>
    <w:uiPriority w:val="99"/>
    <w:semiHidden/>
    <w:unhideWhenUsed/>
    <w:rsid w:val="00BF14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14D5"/>
    <w:rPr>
      <w:rFonts w:ascii="Tahoma" w:hAnsi="Tahoma" w:cs="Tahoma"/>
      <w:sz w:val="16"/>
      <w:szCs w:val="16"/>
      <w:lang w:eastAsia="en-US"/>
    </w:rPr>
  </w:style>
  <w:style w:type="character" w:styleId="CommentReference">
    <w:name w:val="annotation reference"/>
    <w:uiPriority w:val="99"/>
    <w:semiHidden/>
    <w:unhideWhenUsed/>
    <w:rsid w:val="00D82B02"/>
    <w:rPr>
      <w:sz w:val="16"/>
      <w:szCs w:val="16"/>
    </w:rPr>
  </w:style>
  <w:style w:type="paragraph" w:styleId="CommentText">
    <w:name w:val="annotation text"/>
    <w:basedOn w:val="Normal"/>
    <w:link w:val="CommentTextChar"/>
    <w:uiPriority w:val="99"/>
    <w:semiHidden/>
    <w:unhideWhenUsed/>
    <w:rsid w:val="00D82B02"/>
    <w:rPr>
      <w:sz w:val="20"/>
      <w:szCs w:val="20"/>
    </w:rPr>
  </w:style>
  <w:style w:type="character" w:customStyle="1" w:styleId="CommentTextChar">
    <w:name w:val="Comment Text Char"/>
    <w:link w:val="CommentText"/>
    <w:uiPriority w:val="99"/>
    <w:semiHidden/>
    <w:rsid w:val="00D82B02"/>
    <w:rPr>
      <w:lang w:eastAsia="en-US"/>
    </w:rPr>
  </w:style>
  <w:style w:type="paragraph" w:styleId="CommentSubject">
    <w:name w:val="annotation subject"/>
    <w:basedOn w:val="CommentText"/>
    <w:next w:val="CommentText"/>
    <w:link w:val="CommentSubjectChar"/>
    <w:uiPriority w:val="99"/>
    <w:semiHidden/>
    <w:unhideWhenUsed/>
    <w:rsid w:val="00D82B02"/>
    <w:rPr>
      <w:b/>
      <w:bCs/>
    </w:rPr>
  </w:style>
  <w:style w:type="character" w:customStyle="1" w:styleId="CommentSubjectChar">
    <w:name w:val="Comment Subject Char"/>
    <w:link w:val="CommentSubject"/>
    <w:uiPriority w:val="99"/>
    <w:semiHidden/>
    <w:rsid w:val="00D82B02"/>
    <w:rPr>
      <w:b/>
      <w:bCs/>
      <w:lang w:eastAsia="en-US"/>
    </w:rPr>
  </w:style>
  <w:style w:type="paragraph" w:styleId="ListParagraph">
    <w:name w:val="List Paragraph"/>
    <w:basedOn w:val="Normal"/>
    <w:uiPriority w:val="34"/>
    <w:qFormat/>
    <w:rsid w:val="000044CB"/>
    <w:pPr>
      <w:ind w:left="720"/>
    </w:pPr>
  </w:style>
  <w:style w:type="paragraph" w:styleId="NormalWeb">
    <w:name w:val="Normal (Web)"/>
    <w:basedOn w:val="Normal"/>
    <w:uiPriority w:val="99"/>
    <w:semiHidden/>
    <w:unhideWhenUsed/>
    <w:rsid w:val="000B3C4B"/>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F574BD"/>
    <w:pPr>
      <w:spacing w:after="0" w:line="240" w:lineRule="auto"/>
    </w:pPr>
    <w:rPr>
      <w:rFonts w:cs="Calibri"/>
      <w:sz w:val="24"/>
      <w:szCs w:val="24"/>
    </w:rPr>
  </w:style>
  <w:style w:type="character" w:customStyle="1" w:styleId="PlainTextChar">
    <w:name w:val="Plain Text Char"/>
    <w:link w:val="PlainText"/>
    <w:uiPriority w:val="99"/>
    <w:rsid w:val="00F574BD"/>
    <w:rPr>
      <w:rFonts w:cs="Calibri"/>
      <w:sz w:val="24"/>
      <w:szCs w:val="24"/>
      <w:lang w:eastAsia="en-US"/>
    </w:rPr>
  </w:style>
  <w:style w:type="paragraph" w:styleId="FootnoteText">
    <w:name w:val="footnote text"/>
    <w:basedOn w:val="Normal"/>
    <w:link w:val="FootnoteTextChar"/>
    <w:uiPriority w:val="99"/>
    <w:semiHidden/>
    <w:unhideWhenUsed/>
    <w:rsid w:val="006A6913"/>
    <w:pPr>
      <w:spacing w:after="0" w:line="240" w:lineRule="auto"/>
    </w:pPr>
    <w:rPr>
      <w:sz w:val="20"/>
      <w:szCs w:val="20"/>
    </w:rPr>
  </w:style>
  <w:style w:type="character" w:customStyle="1" w:styleId="FootnoteTextChar">
    <w:name w:val="Footnote Text Char"/>
    <w:link w:val="FootnoteText"/>
    <w:uiPriority w:val="99"/>
    <w:semiHidden/>
    <w:rsid w:val="006A6913"/>
    <w:rPr>
      <w:lang w:eastAsia="en-US"/>
    </w:rPr>
  </w:style>
  <w:style w:type="character" w:styleId="FootnoteReference">
    <w:name w:val="footnote reference"/>
    <w:uiPriority w:val="99"/>
    <w:semiHidden/>
    <w:unhideWhenUsed/>
    <w:rsid w:val="006A69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E04"/>
    <w:rPr>
      <w:sz w:val="22"/>
      <w:szCs w:val="22"/>
      <w:lang w:eastAsia="en-US"/>
    </w:rPr>
  </w:style>
  <w:style w:type="paragraph" w:styleId="Header">
    <w:name w:val="header"/>
    <w:basedOn w:val="Normal"/>
    <w:link w:val="HeaderChar"/>
    <w:rsid w:val="007F7DBD"/>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7F7DBD"/>
    <w:rPr>
      <w:rFonts w:ascii="Times New Roman" w:eastAsia="Times New Roman" w:hAnsi="Times New Roman"/>
      <w:sz w:val="24"/>
      <w:szCs w:val="24"/>
    </w:rPr>
  </w:style>
  <w:style w:type="paragraph" w:styleId="Footer">
    <w:name w:val="footer"/>
    <w:basedOn w:val="Normal"/>
    <w:link w:val="FooterChar"/>
    <w:uiPriority w:val="99"/>
    <w:rsid w:val="007F7DBD"/>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F7DBD"/>
    <w:rPr>
      <w:rFonts w:ascii="Times New Roman" w:eastAsia="Times New Roman" w:hAnsi="Times New Roman"/>
      <w:sz w:val="24"/>
      <w:szCs w:val="24"/>
    </w:rPr>
  </w:style>
  <w:style w:type="table" w:styleId="TableGrid">
    <w:name w:val="Table Grid"/>
    <w:basedOn w:val="TableNormal"/>
    <w:uiPriority w:val="59"/>
    <w:rsid w:val="00D2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3D24"/>
    <w:rPr>
      <w:color w:val="0000FF"/>
      <w:u w:val="single"/>
    </w:rPr>
  </w:style>
  <w:style w:type="paragraph" w:styleId="BalloonText">
    <w:name w:val="Balloon Text"/>
    <w:basedOn w:val="Normal"/>
    <w:link w:val="BalloonTextChar"/>
    <w:uiPriority w:val="99"/>
    <w:semiHidden/>
    <w:unhideWhenUsed/>
    <w:rsid w:val="00BF14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14D5"/>
    <w:rPr>
      <w:rFonts w:ascii="Tahoma" w:hAnsi="Tahoma" w:cs="Tahoma"/>
      <w:sz w:val="16"/>
      <w:szCs w:val="16"/>
      <w:lang w:eastAsia="en-US"/>
    </w:rPr>
  </w:style>
  <w:style w:type="character" w:styleId="CommentReference">
    <w:name w:val="annotation reference"/>
    <w:uiPriority w:val="99"/>
    <w:semiHidden/>
    <w:unhideWhenUsed/>
    <w:rsid w:val="00D82B02"/>
    <w:rPr>
      <w:sz w:val="16"/>
      <w:szCs w:val="16"/>
    </w:rPr>
  </w:style>
  <w:style w:type="paragraph" w:styleId="CommentText">
    <w:name w:val="annotation text"/>
    <w:basedOn w:val="Normal"/>
    <w:link w:val="CommentTextChar"/>
    <w:uiPriority w:val="99"/>
    <w:semiHidden/>
    <w:unhideWhenUsed/>
    <w:rsid w:val="00D82B02"/>
    <w:rPr>
      <w:sz w:val="20"/>
      <w:szCs w:val="20"/>
    </w:rPr>
  </w:style>
  <w:style w:type="character" w:customStyle="1" w:styleId="CommentTextChar">
    <w:name w:val="Comment Text Char"/>
    <w:link w:val="CommentText"/>
    <w:uiPriority w:val="99"/>
    <w:semiHidden/>
    <w:rsid w:val="00D82B02"/>
    <w:rPr>
      <w:lang w:eastAsia="en-US"/>
    </w:rPr>
  </w:style>
  <w:style w:type="paragraph" w:styleId="CommentSubject">
    <w:name w:val="annotation subject"/>
    <w:basedOn w:val="CommentText"/>
    <w:next w:val="CommentText"/>
    <w:link w:val="CommentSubjectChar"/>
    <w:uiPriority w:val="99"/>
    <w:semiHidden/>
    <w:unhideWhenUsed/>
    <w:rsid w:val="00D82B02"/>
    <w:rPr>
      <w:b/>
      <w:bCs/>
    </w:rPr>
  </w:style>
  <w:style w:type="character" w:customStyle="1" w:styleId="CommentSubjectChar">
    <w:name w:val="Comment Subject Char"/>
    <w:link w:val="CommentSubject"/>
    <w:uiPriority w:val="99"/>
    <w:semiHidden/>
    <w:rsid w:val="00D82B02"/>
    <w:rPr>
      <w:b/>
      <w:bCs/>
      <w:lang w:eastAsia="en-US"/>
    </w:rPr>
  </w:style>
  <w:style w:type="paragraph" w:styleId="ListParagraph">
    <w:name w:val="List Paragraph"/>
    <w:basedOn w:val="Normal"/>
    <w:uiPriority w:val="34"/>
    <w:qFormat/>
    <w:rsid w:val="000044CB"/>
    <w:pPr>
      <w:ind w:left="720"/>
    </w:pPr>
  </w:style>
  <w:style w:type="paragraph" w:styleId="NormalWeb">
    <w:name w:val="Normal (Web)"/>
    <w:basedOn w:val="Normal"/>
    <w:uiPriority w:val="99"/>
    <w:semiHidden/>
    <w:unhideWhenUsed/>
    <w:rsid w:val="000B3C4B"/>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F574BD"/>
    <w:pPr>
      <w:spacing w:after="0" w:line="240" w:lineRule="auto"/>
    </w:pPr>
    <w:rPr>
      <w:rFonts w:cs="Calibri"/>
      <w:sz w:val="24"/>
      <w:szCs w:val="24"/>
    </w:rPr>
  </w:style>
  <w:style w:type="character" w:customStyle="1" w:styleId="PlainTextChar">
    <w:name w:val="Plain Text Char"/>
    <w:link w:val="PlainText"/>
    <w:uiPriority w:val="99"/>
    <w:rsid w:val="00F574BD"/>
    <w:rPr>
      <w:rFonts w:cs="Calibri"/>
      <w:sz w:val="24"/>
      <w:szCs w:val="24"/>
      <w:lang w:eastAsia="en-US"/>
    </w:rPr>
  </w:style>
  <w:style w:type="paragraph" w:styleId="FootnoteText">
    <w:name w:val="footnote text"/>
    <w:basedOn w:val="Normal"/>
    <w:link w:val="FootnoteTextChar"/>
    <w:uiPriority w:val="99"/>
    <w:semiHidden/>
    <w:unhideWhenUsed/>
    <w:rsid w:val="006A6913"/>
    <w:pPr>
      <w:spacing w:after="0" w:line="240" w:lineRule="auto"/>
    </w:pPr>
    <w:rPr>
      <w:sz w:val="20"/>
      <w:szCs w:val="20"/>
    </w:rPr>
  </w:style>
  <w:style w:type="character" w:customStyle="1" w:styleId="FootnoteTextChar">
    <w:name w:val="Footnote Text Char"/>
    <w:link w:val="FootnoteText"/>
    <w:uiPriority w:val="99"/>
    <w:semiHidden/>
    <w:rsid w:val="006A6913"/>
    <w:rPr>
      <w:lang w:eastAsia="en-US"/>
    </w:rPr>
  </w:style>
  <w:style w:type="character" w:styleId="FootnoteReference">
    <w:name w:val="footnote reference"/>
    <w:uiPriority w:val="99"/>
    <w:semiHidden/>
    <w:unhideWhenUsed/>
    <w:rsid w:val="006A6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700">
      <w:bodyDiv w:val="1"/>
      <w:marLeft w:val="0"/>
      <w:marRight w:val="0"/>
      <w:marTop w:val="0"/>
      <w:marBottom w:val="0"/>
      <w:divBdr>
        <w:top w:val="none" w:sz="0" w:space="0" w:color="auto"/>
        <w:left w:val="none" w:sz="0" w:space="0" w:color="auto"/>
        <w:bottom w:val="none" w:sz="0" w:space="0" w:color="auto"/>
        <w:right w:val="none" w:sz="0" w:space="0" w:color="auto"/>
      </w:divBdr>
    </w:div>
    <w:div w:id="32655754">
      <w:bodyDiv w:val="1"/>
      <w:marLeft w:val="0"/>
      <w:marRight w:val="0"/>
      <w:marTop w:val="0"/>
      <w:marBottom w:val="0"/>
      <w:divBdr>
        <w:top w:val="none" w:sz="0" w:space="0" w:color="auto"/>
        <w:left w:val="none" w:sz="0" w:space="0" w:color="auto"/>
        <w:bottom w:val="none" w:sz="0" w:space="0" w:color="auto"/>
        <w:right w:val="none" w:sz="0" w:space="0" w:color="auto"/>
      </w:divBdr>
    </w:div>
    <w:div w:id="196629883">
      <w:bodyDiv w:val="1"/>
      <w:marLeft w:val="0"/>
      <w:marRight w:val="0"/>
      <w:marTop w:val="0"/>
      <w:marBottom w:val="0"/>
      <w:divBdr>
        <w:top w:val="none" w:sz="0" w:space="0" w:color="auto"/>
        <w:left w:val="none" w:sz="0" w:space="0" w:color="auto"/>
        <w:bottom w:val="none" w:sz="0" w:space="0" w:color="auto"/>
        <w:right w:val="none" w:sz="0" w:space="0" w:color="auto"/>
      </w:divBdr>
    </w:div>
    <w:div w:id="363214822">
      <w:bodyDiv w:val="1"/>
      <w:marLeft w:val="0"/>
      <w:marRight w:val="0"/>
      <w:marTop w:val="0"/>
      <w:marBottom w:val="0"/>
      <w:divBdr>
        <w:top w:val="none" w:sz="0" w:space="0" w:color="auto"/>
        <w:left w:val="none" w:sz="0" w:space="0" w:color="auto"/>
        <w:bottom w:val="none" w:sz="0" w:space="0" w:color="auto"/>
        <w:right w:val="none" w:sz="0" w:space="0" w:color="auto"/>
      </w:divBdr>
    </w:div>
    <w:div w:id="459765115">
      <w:bodyDiv w:val="1"/>
      <w:marLeft w:val="0"/>
      <w:marRight w:val="0"/>
      <w:marTop w:val="0"/>
      <w:marBottom w:val="0"/>
      <w:divBdr>
        <w:top w:val="none" w:sz="0" w:space="0" w:color="auto"/>
        <w:left w:val="none" w:sz="0" w:space="0" w:color="auto"/>
        <w:bottom w:val="none" w:sz="0" w:space="0" w:color="auto"/>
        <w:right w:val="none" w:sz="0" w:space="0" w:color="auto"/>
      </w:divBdr>
    </w:div>
    <w:div w:id="689067833">
      <w:bodyDiv w:val="1"/>
      <w:marLeft w:val="0"/>
      <w:marRight w:val="0"/>
      <w:marTop w:val="0"/>
      <w:marBottom w:val="0"/>
      <w:divBdr>
        <w:top w:val="none" w:sz="0" w:space="0" w:color="auto"/>
        <w:left w:val="none" w:sz="0" w:space="0" w:color="auto"/>
        <w:bottom w:val="none" w:sz="0" w:space="0" w:color="auto"/>
        <w:right w:val="none" w:sz="0" w:space="0" w:color="auto"/>
      </w:divBdr>
    </w:div>
    <w:div w:id="715857183">
      <w:bodyDiv w:val="1"/>
      <w:marLeft w:val="0"/>
      <w:marRight w:val="0"/>
      <w:marTop w:val="0"/>
      <w:marBottom w:val="0"/>
      <w:divBdr>
        <w:top w:val="none" w:sz="0" w:space="0" w:color="auto"/>
        <w:left w:val="none" w:sz="0" w:space="0" w:color="auto"/>
        <w:bottom w:val="none" w:sz="0" w:space="0" w:color="auto"/>
        <w:right w:val="none" w:sz="0" w:space="0" w:color="auto"/>
      </w:divBdr>
    </w:div>
    <w:div w:id="818692050">
      <w:bodyDiv w:val="1"/>
      <w:marLeft w:val="0"/>
      <w:marRight w:val="0"/>
      <w:marTop w:val="0"/>
      <w:marBottom w:val="0"/>
      <w:divBdr>
        <w:top w:val="none" w:sz="0" w:space="0" w:color="auto"/>
        <w:left w:val="none" w:sz="0" w:space="0" w:color="auto"/>
        <w:bottom w:val="none" w:sz="0" w:space="0" w:color="auto"/>
        <w:right w:val="none" w:sz="0" w:space="0" w:color="auto"/>
      </w:divBdr>
    </w:div>
    <w:div w:id="880361071">
      <w:bodyDiv w:val="1"/>
      <w:marLeft w:val="0"/>
      <w:marRight w:val="0"/>
      <w:marTop w:val="0"/>
      <w:marBottom w:val="0"/>
      <w:divBdr>
        <w:top w:val="none" w:sz="0" w:space="0" w:color="auto"/>
        <w:left w:val="none" w:sz="0" w:space="0" w:color="auto"/>
        <w:bottom w:val="none" w:sz="0" w:space="0" w:color="auto"/>
        <w:right w:val="none" w:sz="0" w:space="0" w:color="auto"/>
      </w:divBdr>
    </w:div>
    <w:div w:id="883442926">
      <w:bodyDiv w:val="1"/>
      <w:marLeft w:val="0"/>
      <w:marRight w:val="0"/>
      <w:marTop w:val="0"/>
      <w:marBottom w:val="0"/>
      <w:divBdr>
        <w:top w:val="none" w:sz="0" w:space="0" w:color="auto"/>
        <w:left w:val="none" w:sz="0" w:space="0" w:color="auto"/>
        <w:bottom w:val="none" w:sz="0" w:space="0" w:color="auto"/>
        <w:right w:val="none" w:sz="0" w:space="0" w:color="auto"/>
      </w:divBdr>
    </w:div>
    <w:div w:id="1026637241">
      <w:bodyDiv w:val="1"/>
      <w:marLeft w:val="0"/>
      <w:marRight w:val="0"/>
      <w:marTop w:val="0"/>
      <w:marBottom w:val="0"/>
      <w:divBdr>
        <w:top w:val="none" w:sz="0" w:space="0" w:color="auto"/>
        <w:left w:val="none" w:sz="0" w:space="0" w:color="auto"/>
        <w:bottom w:val="none" w:sz="0" w:space="0" w:color="auto"/>
        <w:right w:val="none" w:sz="0" w:space="0" w:color="auto"/>
      </w:divBdr>
    </w:div>
    <w:div w:id="1265963261">
      <w:bodyDiv w:val="1"/>
      <w:marLeft w:val="0"/>
      <w:marRight w:val="0"/>
      <w:marTop w:val="0"/>
      <w:marBottom w:val="0"/>
      <w:divBdr>
        <w:top w:val="none" w:sz="0" w:space="0" w:color="auto"/>
        <w:left w:val="none" w:sz="0" w:space="0" w:color="auto"/>
        <w:bottom w:val="none" w:sz="0" w:space="0" w:color="auto"/>
        <w:right w:val="none" w:sz="0" w:space="0" w:color="auto"/>
      </w:divBdr>
    </w:div>
    <w:div w:id="1405446948">
      <w:bodyDiv w:val="1"/>
      <w:marLeft w:val="0"/>
      <w:marRight w:val="0"/>
      <w:marTop w:val="0"/>
      <w:marBottom w:val="0"/>
      <w:divBdr>
        <w:top w:val="none" w:sz="0" w:space="0" w:color="auto"/>
        <w:left w:val="none" w:sz="0" w:space="0" w:color="auto"/>
        <w:bottom w:val="none" w:sz="0" w:space="0" w:color="auto"/>
        <w:right w:val="none" w:sz="0" w:space="0" w:color="auto"/>
      </w:divBdr>
    </w:div>
    <w:div w:id="1688484861">
      <w:bodyDiv w:val="1"/>
      <w:marLeft w:val="0"/>
      <w:marRight w:val="0"/>
      <w:marTop w:val="0"/>
      <w:marBottom w:val="0"/>
      <w:divBdr>
        <w:top w:val="none" w:sz="0" w:space="0" w:color="auto"/>
        <w:left w:val="none" w:sz="0" w:space="0" w:color="auto"/>
        <w:bottom w:val="none" w:sz="0" w:space="0" w:color="auto"/>
        <w:right w:val="none" w:sz="0" w:space="0" w:color="auto"/>
      </w:divBdr>
    </w:div>
    <w:div w:id="1808161054">
      <w:bodyDiv w:val="1"/>
      <w:marLeft w:val="0"/>
      <w:marRight w:val="0"/>
      <w:marTop w:val="0"/>
      <w:marBottom w:val="0"/>
      <w:divBdr>
        <w:top w:val="none" w:sz="0" w:space="0" w:color="auto"/>
        <w:left w:val="none" w:sz="0" w:space="0" w:color="auto"/>
        <w:bottom w:val="none" w:sz="0" w:space="0" w:color="auto"/>
        <w:right w:val="none" w:sz="0" w:space="0" w:color="auto"/>
      </w:divBdr>
    </w:div>
    <w:div w:id="1823426151">
      <w:bodyDiv w:val="1"/>
      <w:marLeft w:val="0"/>
      <w:marRight w:val="0"/>
      <w:marTop w:val="0"/>
      <w:marBottom w:val="0"/>
      <w:divBdr>
        <w:top w:val="none" w:sz="0" w:space="0" w:color="auto"/>
        <w:left w:val="none" w:sz="0" w:space="0" w:color="auto"/>
        <w:bottom w:val="none" w:sz="0" w:space="0" w:color="auto"/>
        <w:right w:val="none" w:sz="0" w:space="0" w:color="auto"/>
      </w:divBdr>
    </w:div>
    <w:div w:id="20382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rd.terriere@mft.nhs.uk"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Graphical</a:t>
            </a:r>
            <a:r>
              <a:rPr lang="en-GB" sz="1400" baseline="0"/>
              <a:t> representation of exception reports by speciality</a:t>
            </a:r>
            <a:endParaRPr lang="en-GB" sz="1400"/>
          </a:p>
        </c:rich>
      </c:tx>
      <c:layout>
        <c:manualLayout>
          <c:xMode val="edge"/>
          <c:yMode val="edge"/>
          <c:x val="0.15560344214359081"/>
          <c:y val="2.889576883384932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No. of exceptions carried over from last report</c:v>
                </c:pt>
              </c:strCache>
            </c:strRef>
          </c:tx>
          <c:spPr>
            <a:solidFill>
              <a:srgbClr val="7030A0"/>
            </a:solidFill>
          </c:spPr>
          <c:invertIfNegative val="0"/>
          <c:cat>
            <c:strRef>
              <c:f>Sheet1!$A$2:$A$16</c:f>
              <c:strCache>
                <c:ptCount val="15"/>
                <c:pt idx="0">
                  <c:v>General Medicine</c:v>
                </c:pt>
                <c:pt idx="1">
                  <c:v>Gastroenterology</c:v>
                </c:pt>
                <c:pt idx="2">
                  <c:v>Respiratory medicine</c:v>
                </c:pt>
                <c:pt idx="3">
                  <c:v>Cardiology</c:v>
                </c:pt>
                <c:pt idx="4">
                  <c:v>Rheumatology</c:v>
                </c:pt>
                <c:pt idx="5">
                  <c:v>Renal medicine</c:v>
                </c:pt>
                <c:pt idx="6">
                  <c:v>HPB</c:v>
                </c:pt>
                <c:pt idx="7">
                  <c:v>Colorectal surgery</c:v>
                </c:pt>
                <c:pt idx="8">
                  <c:v>Vascular surgery</c:v>
                </c:pt>
                <c:pt idx="9">
                  <c:v>Trauma &amp; Orthopaedics</c:v>
                </c:pt>
                <c:pt idx="10">
                  <c:v>Ophthalmology</c:v>
                </c:pt>
                <c:pt idx="11">
                  <c:v>Paediatric</c:v>
                </c:pt>
                <c:pt idx="12">
                  <c:v>CAMHS</c:v>
                </c:pt>
                <c:pt idx="13">
                  <c:v>Obstetrics and Gynaecology</c:v>
                </c:pt>
                <c:pt idx="14">
                  <c:v>Total</c:v>
                </c:pt>
              </c:strCache>
            </c:strRef>
          </c:cat>
          <c:val>
            <c:numRef>
              <c:f>Sheet1!$B$2:$B$16</c:f>
              <c:numCache>
                <c:formatCode>General</c:formatCode>
                <c:ptCount val="15"/>
                <c:pt idx="0">
                  <c:v>0</c:v>
                </c:pt>
                <c:pt idx="1">
                  <c:v>0</c:v>
                </c:pt>
                <c:pt idx="2">
                  <c:v>0</c:v>
                </c:pt>
                <c:pt idx="3">
                  <c:v>0</c:v>
                </c:pt>
                <c:pt idx="4">
                  <c:v>0</c:v>
                </c:pt>
                <c:pt idx="5">
                  <c:v>0</c:v>
                </c:pt>
                <c:pt idx="6">
                  <c:v>0</c:v>
                </c:pt>
                <c:pt idx="7">
                  <c:v>0</c:v>
                </c:pt>
                <c:pt idx="8">
                  <c:v>0</c:v>
                </c:pt>
                <c:pt idx="9">
                  <c:v>1</c:v>
                </c:pt>
                <c:pt idx="10">
                  <c:v>0</c:v>
                </c:pt>
                <c:pt idx="11">
                  <c:v>0</c:v>
                </c:pt>
                <c:pt idx="12">
                  <c:v>0</c:v>
                </c:pt>
                <c:pt idx="13">
                  <c:v>0</c:v>
                </c:pt>
                <c:pt idx="14">
                  <c:v>1</c:v>
                </c:pt>
              </c:numCache>
            </c:numRef>
          </c:val>
        </c:ser>
        <c:ser>
          <c:idx val="1"/>
          <c:order val="1"/>
          <c:tx>
            <c:strRef>
              <c:f>Sheet1!$C$1</c:f>
              <c:strCache>
                <c:ptCount val="1"/>
                <c:pt idx="0">
                  <c:v>No. of exceptions raised in this quarter</c:v>
                </c:pt>
              </c:strCache>
            </c:strRef>
          </c:tx>
          <c:spPr>
            <a:solidFill>
              <a:srgbClr val="0070C0"/>
            </a:solidFill>
          </c:spPr>
          <c:invertIfNegative val="0"/>
          <c:cat>
            <c:strRef>
              <c:f>Sheet1!$A$2:$A$16</c:f>
              <c:strCache>
                <c:ptCount val="15"/>
                <c:pt idx="0">
                  <c:v>General Medicine</c:v>
                </c:pt>
                <c:pt idx="1">
                  <c:v>Gastroenterology</c:v>
                </c:pt>
                <c:pt idx="2">
                  <c:v>Respiratory medicine</c:v>
                </c:pt>
                <c:pt idx="3">
                  <c:v>Cardiology</c:v>
                </c:pt>
                <c:pt idx="4">
                  <c:v>Rheumatology</c:v>
                </c:pt>
                <c:pt idx="5">
                  <c:v>Renal medicine</c:v>
                </c:pt>
                <c:pt idx="6">
                  <c:v>HPB</c:v>
                </c:pt>
                <c:pt idx="7">
                  <c:v>Colorectal surgery</c:v>
                </c:pt>
                <c:pt idx="8">
                  <c:v>Vascular surgery</c:v>
                </c:pt>
                <c:pt idx="9">
                  <c:v>Trauma &amp; Orthopaedics</c:v>
                </c:pt>
                <c:pt idx="10">
                  <c:v>Ophthalmology</c:v>
                </c:pt>
                <c:pt idx="11">
                  <c:v>Paediatric</c:v>
                </c:pt>
                <c:pt idx="12">
                  <c:v>CAMHS</c:v>
                </c:pt>
                <c:pt idx="13">
                  <c:v>Obstetrics and Gynaecology</c:v>
                </c:pt>
                <c:pt idx="14">
                  <c:v>Total</c:v>
                </c:pt>
              </c:strCache>
            </c:strRef>
          </c:cat>
          <c:val>
            <c:numRef>
              <c:f>Sheet1!$C$2:$C$16</c:f>
              <c:numCache>
                <c:formatCode>General</c:formatCode>
                <c:ptCount val="15"/>
                <c:pt idx="0">
                  <c:v>7</c:v>
                </c:pt>
                <c:pt idx="1">
                  <c:v>23</c:v>
                </c:pt>
                <c:pt idx="2">
                  <c:v>6</c:v>
                </c:pt>
                <c:pt idx="3">
                  <c:v>3</c:v>
                </c:pt>
                <c:pt idx="4">
                  <c:v>4</c:v>
                </c:pt>
                <c:pt idx="5">
                  <c:v>7</c:v>
                </c:pt>
                <c:pt idx="6">
                  <c:v>13</c:v>
                </c:pt>
                <c:pt idx="7">
                  <c:v>18</c:v>
                </c:pt>
                <c:pt idx="8">
                  <c:v>2</c:v>
                </c:pt>
                <c:pt idx="9">
                  <c:v>0</c:v>
                </c:pt>
                <c:pt idx="10">
                  <c:v>1</c:v>
                </c:pt>
                <c:pt idx="11">
                  <c:v>26</c:v>
                </c:pt>
                <c:pt idx="12">
                  <c:v>3</c:v>
                </c:pt>
                <c:pt idx="13">
                  <c:v>5</c:v>
                </c:pt>
                <c:pt idx="14">
                  <c:v>118</c:v>
                </c:pt>
              </c:numCache>
            </c:numRef>
          </c:val>
        </c:ser>
        <c:ser>
          <c:idx val="2"/>
          <c:order val="2"/>
          <c:tx>
            <c:strRef>
              <c:f>Sheet1!$D$1</c:f>
              <c:strCache>
                <c:ptCount val="1"/>
                <c:pt idx="0">
                  <c:v>No. of exceptions closed</c:v>
                </c:pt>
              </c:strCache>
            </c:strRef>
          </c:tx>
          <c:spPr>
            <a:solidFill>
              <a:srgbClr val="00B050"/>
            </a:solidFill>
          </c:spPr>
          <c:invertIfNegative val="0"/>
          <c:cat>
            <c:strRef>
              <c:f>Sheet1!$A$2:$A$16</c:f>
              <c:strCache>
                <c:ptCount val="15"/>
                <c:pt idx="0">
                  <c:v>General Medicine</c:v>
                </c:pt>
                <c:pt idx="1">
                  <c:v>Gastroenterology</c:v>
                </c:pt>
                <c:pt idx="2">
                  <c:v>Respiratory medicine</c:v>
                </c:pt>
                <c:pt idx="3">
                  <c:v>Cardiology</c:v>
                </c:pt>
                <c:pt idx="4">
                  <c:v>Rheumatology</c:v>
                </c:pt>
                <c:pt idx="5">
                  <c:v>Renal medicine</c:v>
                </c:pt>
                <c:pt idx="6">
                  <c:v>HPB</c:v>
                </c:pt>
                <c:pt idx="7">
                  <c:v>Colorectal surgery</c:v>
                </c:pt>
                <c:pt idx="8">
                  <c:v>Vascular surgery</c:v>
                </c:pt>
                <c:pt idx="9">
                  <c:v>Trauma &amp; Orthopaedics</c:v>
                </c:pt>
                <c:pt idx="10">
                  <c:v>Ophthalmology</c:v>
                </c:pt>
                <c:pt idx="11">
                  <c:v>Paediatric</c:v>
                </c:pt>
                <c:pt idx="12">
                  <c:v>CAMHS</c:v>
                </c:pt>
                <c:pt idx="13">
                  <c:v>Obstetrics and Gynaecology</c:v>
                </c:pt>
                <c:pt idx="14">
                  <c:v>Total</c:v>
                </c:pt>
              </c:strCache>
            </c:strRef>
          </c:cat>
          <c:val>
            <c:numRef>
              <c:f>Sheet1!$D$2:$D$16</c:f>
              <c:numCache>
                <c:formatCode>General</c:formatCode>
                <c:ptCount val="15"/>
                <c:pt idx="0">
                  <c:v>4</c:v>
                </c:pt>
                <c:pt idx="1">
                  <c:v>20</c:v>
                </c:pt>
                <c:pt idx="2">
                  <c:v>6</c:v>
                </c:pt>
                <c:pt idx="3">
                  <c:v>3</c:v>
                </c:pt>
                <c:pt idx="4">
                  <c:v>4</c:v>
                </c:pt>
                <c:pt idx="5">
                  <c:v>3</c:v>
                </c:pt>
                <c:pt idx="6">
                  <c:v>9</c:v>
                </c:pt>
                <c:pt idx="7">
                  <c:v>16</c:v>
                </c:pt>
                <c:pt idx="8">
                  <c:v>2</c:v>
                </c:pt>
                <c:pt idx="9">
                  <c:v>0</c:v>
                </c:pt>
                <c:pt idx="10">
                  <c:v>1</c:v>
                </c:pt>
                <c:pt idx="11">
                  <c:v>25</c:v>
                </c:pt>
                <c:pt idx="12">
                  <c:v>3</c:v>
                </c:pt>
                <c:pt idx="13">
                  <c:v>5</c:v>
                </c:pt>
                <c:pt idx="14">
                  <c:v>101</c:v>
                </c:pt>
              </c:numCache>
            </c:numRef>
          </c:val>
        </c:ser>
        <c:ser>
          <c:idx val="3"/>
          <c:order val="3"/>
          <c:tx>
            <c:strRef>
              <c:f>Sheet1!$E$1</c:f>
              <c:strCache>
                <c:ptCount val="1"/>
                <c:pt idx="0">
                  <c:v>No. of exceptions outstanding</c:v>
                </c:pt>
              </c:strCache>
            </c:strRef>
          </c:tx>
          <c:spPr>
            <a:solidFill>
              <a:srgbClr val="FF0000"/>
            </a:solidFill>
          </c:spPr>
          <c:invertIfNegative val="0"/>
          <c:cat>
            <c:strRef>
              <c:f>Sheet1!$A$2:$A$16</c:f>
              <c:strCache>
                <c:ptCount val="15"/>
                <c:pt idx="0">
                  <c:v>General Medicine</c:v>
                </c:pt>
                <c:pt idx="1">
                  <c:v>Gastroenterology</c:v>
                </c:pt>
                <c:pt idx="2">
                  <c:v>Respiratory medicine</c:v>
                </c:pt>
                <c:pt idx="3">
                  <c:v>Cardiology</c:v>
                </c:pt>
                <c:pt idx="4">
                  <c:v>Rheumatology</c:v>
                </c:pt>
                <c:pt idx="5">
                  <c:v>Renal medicine</c:v>
                </c:pt>
                <c:pt idx="6">
                  <c:v>HPB</c:v>
                </c:pt>
                <c:pt idx="7">
                  <c:v>Colorectal surgery</c:v>
                </c:pt>
                <c:pt idx="8">
                  <c:v>Vascular surgery</c:v>
                </c:pt>
                <c:pt idx="9">
                  <c:v>Trauma &amp; Orthopaedics</c:v>
                </c:pt>
                <c:pt idx="10">
                  <c:v>Ophthalmology</c:v>
                </c:pt>
                <c:pt idx="11">
                  <c:v>Paediatric</c:v>
                </c:pt>
                <c:pt idx="12">
                  <c:v>CAMHS</c:v>
                </c:pt>
                <c:pt idx="13">
                  <c:v>Obstetrics and Gynaecology</c:v>
                </c:pt>
                <c:pt idx="14">
                  <c:v>Total</c:v>
                </c:pt>
              </c:strCache>
            </c:strRef>
          </c:cat>
          <c:val>
            <c:numRef>
              <c:f>Sheet1!$E$2:$E$16</c:f>
              <c:numCache>
                <c:formatCode>General</c:formatCode>
                <c:ptCount val="15"/>
                <c:pt idx="0">
                  <c:v>3</c:v>
                </c:pt>
                <c:pt idx="1">
                  <c:v>3</c:v>
                </c:pt>
                <c:pt idx="2">
                  <c:v>0</c:v>
                </c:pt>
                <c:pt idx="3">
                  <c:v>0</c:v>
                </c:pt>
                <c:pt idx="4">
                  <c:v>0</c:v>
                </c:pt>
                <c:pt idx="5">
                  <c:v>4</c:v>
                </c:pt>
                <c:pt idx="6">
                  <c:v>4</c:v>
                </c:pt>
                <c:pt idx="7">
                  <c:v>2</c:v>
                </c:pt>
                <c:pt idx="8">
                  <c:v>0</c:v>
                </c:pt>
                <c:pt idx="9">
                  <c:v>1</c:v>
                </c:pt>
                <c:pt idx="10">
                  <c:v>0</c:v>
                </c:pt>
                <c:pt idx="11">
                  <c:v>1</c:v>
                </c:pt>
                <c:pt idx="12">
                  <c:v>0</c:v>
                </c:pt>
                <c:pt idx="13">
                  <c:v>0</c:v>
                </c:pt>
                <c:pt idx="14">
                  <c:v>18</c:v>
                </c:pt>
              </c:numCache>
            </c:numRef>
          </c:val>
        </c:ser>
        <c:dLbls>
          <c:showLegendKey val="0"/>
          <c:showVal val="0"/>
          <c:showCatName val="0"/>
          <c:showSerName val="0"/>
          <c:showPercent val="0"/>
          <c:showBubbleSize val="0"/>
        </c:dLbls>
        <c:gapWidth val="150"/>
        <c:shape val="box"/>
        <c:axId val="21170432"/>
        <c:axId val="21176320"/>
        <c:axId val="0"/>
      </c:bar3DChart>
      <c:catAx>
        <c:axId val="21170432"/>
        <c:scaling>
          <c:orientation val="minMax"/>
        </c:scaling>
        <c:delete val="0"/>
        <c:axPos val="b"/>
        <c:majorTickMark val="out"/>
        <c:minorTickMark val="none"/>
        <c:tickLblPos val="nextTo"/>
        <c:crossAx val="21176320"/>
        <c:crosses val="autoZero"/>
        <c:auto val="1"/>
        <c:lblAlgn val="ctr"/>
        <c:lblOffset val="100"/>
        <c:noMultiLvlLbl val="0"/>
      </c:catAx>
      <c:valAx>
        <c:axId val="21176320"/>
        <c:scaling>
          <c:orientation val="minMax"/>
        </c:scaling>
        <c:delete val="0"/>
        <c:axPos val="l"/>
        <c:majorGridlines/>
        <c:numFmt formatCode="General" sourceLinked="1"/>
        <c:majorTickMark val="out"/>
        <c:minorTickMark val="none"/>
        <c:tickLblPos val="nextTo"/>
        <c:crossAx val="21170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Graphical representation</a:t>
            </a:r>
            <a:r>
              <a:rPr lang="en-GB" sz="1400" baseline="0"/>
              <a:t> of exception reports by speciality </a:t>
            </a:r>
            <a:endParaRPr lang="en-GB"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No. of exceptions carried over from last report</c:v>
                </c:pt>
              </c:strCache>
            </c:strRef>
          </c:tx>
          <c:spPr>
            <a:solidFill>
              <a:srgbClr val="7030A0"/>
            </a:solidFill>
          </c:spPr>
          <c:invertIfNegative val="0"/>
          <c:cat>
            <c:strRef>
              <c:f>Sheet1!$A$2:$A$12</c:f>
              <c:strCache>
                <c:ptCount val="11"/>
                <c:pt idx="0">
                  <c:v>Vascular</c:v>
                </c:pt>
                <c:pt idx="1">
                  <c:v>Gastroenterology</c:v>
                </c:pt>
                <c:pt idx="2">
                  <c:v>General Medicine</c:v>
                </c:pt>
                <c:pt idx="3">
                  <c:v>Endocrine and Diabetes</c:v>
                </c:pt>
                <c:pt idx="4">
                  <c:v>Oncology</c:v>
                </c:pt>
                <c:pt idx="5">
                  <c:v>Respiratory medicine</c:v>
                </c:pt>
                <c:pt idx="6">
                  <c:v>Trafford - Psychiatry and Gen Medicine</c:v>
                </c:pt>
                <c:pt idx="7">
                  <c:v>Trauma &amp; Orthopaedics</c:v>
                </c:pt>
                <c:pt idx="8">
                  <c:v>A&amp;E</c:v>
                </c:pt>
                <c:pt idx="9">
                  <c:v>Cardiology </c:v>
                </c:pt>
                <c:pt idx="10">
                  <c:v>Total</c:v>
                </c:pt>
              </c:strCache>
            </c:strRef>
          </c:cat>
          <c:val>
            <c:numRef>
              <c:f>Sheet1!$B$2:$B$12</c:f>
              <c:numCache>
                <c:formatCode>General</c:formatCode>
                <c:ptCount val="11"/>
                <c:pt idx="0">
                  <c:v>0</c:v>
                </c:pt>
                <c:pt idx="1">
                  <c:v>1</c:v>
                </c:pt>
                <c:pt idx="2">
                  <c:v>1</c:v>
                </c:pt>
                <c:pt idx="3">
                  <c:v>0</c:v>
                </c:pt>
                <c:pt idx="4">
                  <c:v>0</c:v>
                </c:pt>
                <c:pt idx="5">
                  <c:v>1</c:v>
                </c:pt>
                <c:pt idx="6">
                  <c:v>0</c:v>
                </c:pt>
                <c:pt idx="7">
                  <c:v>0</c:v>
                </c:pt>
                <c:pt idx="8">
                  <c:v>0</c:v>
                </c:pt>
                <c:pt idx="9">
                  <c:v>0</c:v>
                </c:pt>
                <c:pt idx="10">
                  <c:v>3</c:v>
                </c:pt>
              </c:numCache>
            </c:numRef>
          </c:val>
        </c:ser>
        <c:ser>
          <c:idx val="1"/>
          <c:order val="1"/>
          <c:tx>
            <c:strRef>
              <c:f>Sheet1!$C$1</c:f>
              <c:strCache>
                <c:ptCount val="1"/>
                <c:pt idx="0">
                  <c:v>No. of exceptions raised in this quarter</c:v>
                </c:pt>
              </c:strCache>
            </c:strRef>
          </c:tx>
          <c:spPr>
            <a:solidFill>
              <a:srgbClr val="0070C0"/>
            </a:solidFill>
          </c:spPr>
          <c:invertIfNegative val="0"/>
          <c:cat>
            <c:strRef>
              <c:f>Sheet1!$A$2:$A$12</c:f>
              <c:strCache>
                <c:ptCount val="11"/>
                <c:pt idx="0">
                  <c:v>Vascular</c:v>
                </c:pt>
                <c:pt idx="1">
                  <c:v>Gastroenterology</c:v>
                </c:pt>
                <c:pt idx="2">
                  <c:v>General Medicine</c:v>
                </c:pt>
                <c:pt idx="3">
                  <c:v>Endocrine and Diabetes</c:v>
                </c:pt>
                <c:pt idx="4">
                  <c:v>Oncology</c:v>
                </c:pt>
                <c:pt idx="5">
                  <c:v>Respiratory medicine</c:v>
                </c:pt>
                <c:pt idx="6">
                  <c:v>Trafford - Psychiatry and Gen Medicine</c:v>
                </c:pt>
                <c:pt idx="7">
                  <c:v>Trauma &amp; Orthopaedics</c:v>
                </c:pt>
                <c:pt idx="8">
                  <c:v>A&amp;E</c:v>
                </c:pt>
                <c:pt idx="9">
                  <c:v>Cardiology </c:v>
                </c:pt>
                <c:pt idx="10">
                  <c:v>Total</c:v>
                </c:pt>
              </c:strCache>
            </c:strRef>
          </c:cat>
          <c:val>
            <c:numRef>
              <c:f>Sheet1!$C$2:$C$12</c:f>
              <c:numCache>
                <c:formatCode>General</c:formatCode>
                <c:ptCount val="11"/>
                <c:pt idx="0">
                  <c:v>1</c:v>
                </c:pt>
                <c:pt idx="1">
                  <c:v>29</c:v>
                </c:pt>
                <c:pt idx="2">
                  <c:v>21</c:v>
                </c:pt>
                <c:pt idx="3">
                  <c:v>2</c:v>
                </c:pt>
                <c:pt idx="4">
                  <c:v>11</c:v>
                </c:pt>
                <c:pt idx="5">
                  <c:v>2</c:v>
                </c:pt>
                <c:pt idx="6">
                  <c:v>9</c:v>
                </c:pt>
                <c:pt idx="7">
                  <c:v>1</c:v>
                </c:pt>
                <c:pt idx="8">
                  <c:v>4</c:v>
                </c:pt>
                <c:pt idx="9">
                  <c:v>4</c:v>
                </c:pt>
                <c:pt idx="10">
                  <c:v>84</c:v>
                </c:pt>
              </c:numCache>
            </c:numRef>
          </c:val>
        </c:ser>
        <c:ser>
          <c:idx val="2"/>
          <c:order val="2"/>
          <c:tx>
            <c:strRef>
              <c:f>Sheet1!$D$1</c:f>
              <c:strCache>
                <c:ptCount val="1"/>
                <c:pt idx="0">
                  <c:v>No. of exceptions closed</c:v>
                </c:pt>
              </c:strCache>
            </c:strRef>
          </c:tx>
          <c:spPr>
            <a:solidFill>
              <a:srgbClr val="00B050"/>
            </a:solidFill>
          </c:spPr>
          <c:invertIfNegative val="0"/>
          <c:cat>
            <c:strRef>
              <c:f>Sheet1!$A$2:$A$12</c:f>
              <c:strCache>
                <c:ptCount val="11"/>
                <c:pt idx="0">
                  <c:v>Vascular</c:v>
                </c:pt>
                <c:pt idx="1">
                  <c:v>Gastroenterology</c:v>
                </c:pt>
                <c:pt idx="2">
                  <c:v>General Medicine</c:v>
                </c:pt>
                <c:pt idx="3">
                  <c:v>Endocrine and Diabetes</c:v>
                </c:pt>
                <c:pt idx="4">
                  <c:v>Oncology</c:v>
                </c:pt>
                <c:pt idx="5">
                  <c:v>Respiratory medicine</c:v>
                </c:pt>
                <c:pt idx="6">
                  <c:v>Trafford - Psychiatry and Gen Medicine</c:v>
                </c:pt>
                <c:pt idx="7">
                  <c:v>Trauma &amp; Orthopaedics</c:v>
                </c:pt>
                <c:pt idx="8">
                  <c:v>A&amp;E</c:v>
                </c:pt>
                <c:pt idx="9">
                  <c:v>Cardiology </c:v>
                </c:pt>
                <c:pt idx="10">
                  <c:v>Total</c:v>
                </c:pt>
              </c:strCache>
            </c:strRef>
          </c:cat>
          <c:val>
            <c:numRef>
              <c:f>Sheet1!$D$2:$D$12</c:f>
              <c:numCache>
                <c:formatCode>General</c:formatCode>
                <c:ptCount val="11"/>
                <c:pt idx="0">
                  <c:v>0</c:v>
                </c:pt>
                <c:pt idx="1">
                  <c:v>25</c:v>
                </c:pt>
                <c:pt idx="2">
                  <c:v>12</c:v>
                </c:pt>
                <c:pt idx="3">
                  <c:v>1</c:v>
                </c:pt>
                <c:pt idx="4">
                  <c:v>11</c:v>
                </c:pt>
                <c:pt idx="5">
                  <c:v>2</c:v>
                </c:pt>
                <c:pt idx="6">
                  <c:v>9</c:v>
                </c:pt>
                <c:pt idx="7">
                  <c:v>1</c:v>
                </c:pt>
                <c:pt idx="8">
                  <c:v>2</c:v>
                </c:pt>
                <c:pt idx="9">
                  <c:v>4</c:v>
                </c:pt>
                <c:pt idx="10">
                  <c:v>67</c:v>
                </c:pt>
              </c:numCache>
            </c:numRef>
          </c:val>
        </c:ser>
        <c:ser>
          <c:idx val="3"/>
          <c:order val="3"/>
          <c:tx>
            <c:strRef>
              <c:f>Sheet1!$E$1</c:f>
              <c:strCache>
                <c:ptCount val="1"/>
                <c:pt idx="0">
                  <c:v>No. of exceptions outstanding</c:v>
                </c:pt>
              </c:strCache>
            </c:strRef>
          </c:tx>
          <c:spPr>
            <a:solidFill>
              <a:srgbClr val="FF0000"/>
            </a:solidFill>
          </c:spPr>
          <c:invertIfNegative val="0"/>
          <c:cat>
            <c:strRef>
              <c:f>Sheet1!$A$2:$A$12</c:f>
              <c:strCache>
                <c:ptCount val="11"/>
                <c:pt idx="0">
                  <c:v>Vascular</c:v>
                </c:pt>
                <c:pt idx="1">
                  <c:v>Gastroenterology</c:v>
                </c:pt>
                <c:pt idx="2">
                  <c:v>General Medicine</c:v>
                </c:pt>
                <c:pt idx="3">
                  <c:v>Endocrine and Diabetes</c:v>
                </c:pt>
                <c:pt idx="4">
                  <c:v>Oncology</c:v>
                </c:pt>
                <c:pt idx="5">
                  <c:v>Respiratory medicine</c:v>
                </c:pt>
                <c:pt idx="6">
                  <c:v>Trafford - Psychiatry and Gen Medicine</c:v>
                </c:pt>
                <c:pt idx="7">
                  <c:v>Trauma &amp; Orthopaedics</c:v>
                </c:pt>
                <c:pt idx="8">
                  <c:v>A&amp;E</c:v>
                </c:pt>
                <c:pt idx="9">
                  <c:v>Cardiology </c:v>
                </c:pt>
                <c:pt idx="10">
                  <c:v>Total</c:v>
                </c:pt>
              </c:strCache>
            </c:strRef>
          </c:cat>
          <c:val>
            <c:numRef>
              <c:f>Sheet1!$E$2:$E$12</c:f>
              <c:numCache>
                <c:formatCode>General</c:formatCode>
                <c:ptCount val="11"/>
                <c:pt idx="0">
                  <c:v>1</c:v>
                </c:pt>
                <c:pt idx="1">
                  <c:v>5</c:v>
                </c:pt>
                <c:pt idx="2">
                  <c:v>10</c:v>
                </c:pt>
                <c:pt idx="3">
                  <c:v>1</c:v>
                </c:pt>
                <c:pt idx="4">
                  <c:v>0</c:v>
                </c:pt>
                <c:pt idx="5">
                  <c:v>1</c:v>
                </c:pt>
                <c:pt idx="6">
                  <c:v>0</c:v>
                </c:pt>
                <c:pt idx="7">
                  <c:v>0</c:v>
                </c:pt>
                <c:pt idx="8">
                  <c:v>2</c:v>
                </c:pt>
                <c:pt idx="9">
                  <c:v>0</c:v>
                </c:pt>
                <c:pt idx="10">
                  <c:v>20</c:v>
                </c:pt>
              </c:numCache>
            </c:numRef>
          </c:val>
        </c:ser>
        <c:dLbls>
          <c:showLegendKey val="0"/>
          <c:showVal val="0"/>
          <c:showCatName val="0"/>
          <c:showSerName val="0"/>
          <c:showPercent val="0"/>
          <c:showBubbleSize val="0"/>
        </c:dLbls>
        <c:gapWidth val="150"/>
        <c:shape val="box"/>
        <c:axId val="62266752"/>
        <c:axId val="62309504"/>
        <c:axId val="0"/>
      </c:bar3DChart>
      <c:catAx>
        <c:axId val="62266752"/>
        <c:scaling>
          <c:orientation val="minMax"/>
        </c:scaling>
        <c:delete val="0"/>
        <c:axPos val="b"/>
        <c:majorTickMark val="out"/>
        <c:minorTickMark val="none"/>
        <c:tickLblPos val="nextTo"/>
        <c:crossAx val="62309504"/>
        <c:crosses val="autoZero"/>
        <c:auto val="1"/>
        <c:lblAlgn val="ctr"/>
        <c:lblOffset val="100"/>
        <c:noMultiLvlLbl val="0"/>
      </c:catAx>
      <c:valAx>
        <c:axId val="62309504"/>
        <c:scaling>
          <c:orientation val="minMax"/>
        </c:scaling>
        <c:delete val="0"/>
        <c:axPos val="l"/>
        <c:majorGridlines/>
        <c:numFmt formatCode="General" sourceLinked="1"/>
        <c:majorTickMark val="out"/>
        <c:minorTickMark val="none"/>
        <c:tickLblPos val="nextTo"/>
        <c:crossAx val="622667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Graphical representation of exception reports by grade</a:t>
            </a:r>
          </a:p>
        </c:rich>
      </c:tx>
      <c:layout>
        <c:manualLayout>
          <c:xMode val="edge"/>
          <c:yMode val="edge"/>
          <c:x val="0.10975852449235317"/>
          <c:y val="3.774133496470834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No. of exceptions carried over from last report</c:v>
                </c:pt>
              </c:strCache>
            </c:strRef>
          </c:tx>
          <c:spPr>
            <a:solidFill>
              <a:srgbClr val="7030A0"/>
            </a:solidFill>
          </c:spPr>
          <c:invertIfNegative val="0"/>
          <c:cat>
            <c:strRef>
              <c:f>Sheet1!$A$2:$A$9</c:f>
              <c:strCache>
                <c:ptCount val="8"/>
                <c:pt idx="0">
                  <c:v>FY1 </c:v>
                </c:pt>
                <c:pt idx="1">
                  <c:v>FY2</c:v>
                </c:pt>
                <c:pt idx="2">
                  <c:v>CT1</c:v>
                </c:pt>
                <c:pt idx="3">
                  <c:v>CT2</c:v>
                </c:pt>
                <c:pt idx="4">
                  <c:v>CT3</c:v>
                </c:pt>
                <c:pt idx="5">
                  <c:v>ST1 - 2</c:v>
                </c:pt>
                <c:pt idx="6">
                  <c:v>ST3 +</c:v>
                </c:pt>
                <c:pt idx="7">
                  <c:v>Total</c:v>
                </c:pt>
              </c:strCache>
            </c:strRef>
          </c:cat>
          <c:val>
            <c:numRef>
              <c:f>Sheet1!$B$2:$B$9</c:f>
              <c:numCache>
                <c:formatCode>General</c:formatCode>
                <c:ptCount val="8"/>
                <c:pt idx="0">
                  <c:v>1</c:v>
                </c:pt>
                <c:pt idx="1">
                  <c:v>0</c:v>
                </c:pt>
                <c:pt idx="2">
                  <c:v>1</c:v>
                </c:pt>
                <c:pt idx="3">
                  <c:v>1</c:v>
                </c:pt>
                <c:pt idx="4">
                  <c:v>1</c:v>
                </c:pt>
                <c:pt idx="5">
                  <c:v>0</c:v>
                </c:pt>
                <c:pt idx="6">
                  <c:v>0</c:v>
                </c:pt>
                <c:pt idx="7">
                  <c:v>4</c:v>
                </c:pt>
              </c:numCache>
            </c:numRef>
          </c:val>
        </c:ser>
        <c:ser>
          <c:idx val="1"/>
          <c:order val="1"/>
          <c:tx>
            <c:strRef>
              <c:f>Sheet1!$C$1</c:f>
              <c:strCache>
                <c:ptCount val="1"/>
                <c:pt idx="0">
                  <c:v>No. of exceptions raised in this quarter</c:v>
                </c:pt>
              </c:strCache>
            </c:strRef>
          </c:tx>
          <c:spPr>
            <a:solidFill>
              <a:srgbClr val="0070C0"/>
            </a:solidFill>
          </c:spPr>
          <c:invertIfNegative val="0"/>
          <c:cat>
            <c:strRef>
              <c:f>Sheet1!$A$2:$A$9</c:f>
              <c:strCache>
                <c:ptCount val="8"/>
                <c:pt idx="0">
                  <c:v>FY1 </c:v>
                </c:pt>
                <c:pt idx="1">
                  <c:v>FY2</c:v>
                </c:pt>
                <c:pt idx="2">
                  <c:v>CT1</c:v>
                </c:pt>
                <c:pt idx="3">
                  <c:v>CT2</c:v>
                </c:pt>
                <c:pt idx="4">
                  <c:v>CT3</c:v>
                </c:pt>
                <c:pt idx="5">
                  <c:v>ST1 - 2</c:v>
                </c:pt>
                <c:pt idx="6">
                  <c:v>ST3 +</c:v>
                </c:pt>
                <c:pt idx="7">
                  <c:v>Total</c:v>
                </c:pt>
              </c:strCache>
            </c:strRef>
          </c:cat>
          <c:val>
            <c:numRef>
              <c:f>Sheet1!$C$2:$C$9</c:f>
              <c:numCache>
                <c:formatCode>General</c:formatCode>
                <c:ptCount val="8"/>
                <c:pt idx="0">
                  <c:v>142</c:v>
                </c:pt>
                <c:pt idx="1">
                  <c:v>1</c:v>
                </c:pt>
                <c:pt idx="2">
                  <c:v>6</c:v>
                </c:pt>
                <c:pt idx="3">
                  <c:v>14</c:v>
                </c:pt>
                <c:pt idx="4">
                  <c:v>0</c:v>
                </c:pt>
                <c:pt idx="5">
                  <c:v>25</c:v>
                </c:pt>
                <c:pt idx="6">
                  <c:v>14</c:v>
                </c:pt>
                <c:pt idx="7">
                  <c:v>202</c:v>
                </c:pt>
              </c:numCache>
            </c:numRef>
          </c:val>
        </c:ser>
        <c:ser>
          <c:idx val="2"/>
          <c:order val="2"/>
          <c:tx>
            <c:strRef>
              <c:f>Sheet1!$D$1</c:f>
              <c:strCache>
                <c:ptCount val="1"/>
                <c:pt idx="0">
                  <c:v>No. of exceptions closed</c:v>
                </c:pt>
              </c:strCache>
            </c:strRef>
          </c:tx>
          <c:spPr>
            <a:solidFill>
              <a:srgbClr val="00B050"/>
            </a:solidFill>
          </c:spPr>
          <c:invertIfNegative val="0"/>
          <c:cat>
            <c:strRef>
              <c:f>Sheet1!$A$2:$A$9</c:f>
              <c:strCache>
                <c:ptCount val="8"/>
                <c:pt idx="0">
                  <c:v>FY1 </c:v>
                </c:pt>
                <c:pt idx="1">
                  <c:v>FY2</c:v>
                </c:pt>
                <c:pt idx="2">
                  <c:v>CT1</c:v>
                </c:pt>
                <c:pt idx="3">
                  <c:v>CT2</c:v>
                </c:pt>
                <c:pt idx="4">
                  <c:v>CT3</c:v>
                </c:pt>
                <c:pt idx="5">
                  <c:v>ST1 - 2</c:v>
                </c:pt>
                <c:pt idx="6">
                  <c:v>ST3 +</c:v>
                </c:pt>
                <c:pt idx="7">
                  <c:v>Total</c:v>
                </c:pt>
              </c:strCache>
            </c:strRef>
          </c:cat>
          <c:val>
            <c:numRef>
              <c:f>Sheet1!$D$2:$D$9</c:f>
              <c:numCache>
                <c:formatCode>General</c:formatCode>
                <c:ptCount val="8"/>
                <c:pt idx="0">
                  <c:v>116</c:v>
                </c:pt>
                <c:pt idx="1">
                  <c:v>1</c:v>
                </c:pt>
                <c:pt idx="2">
                  <c:v>5</c:v>
                </c:pt>
                <c:pt idx="3">
                  <c:v>14</c:v>
                </c:pt>
                <c:pt idx="4">
                  <c:v>0</c:v>
                </c:pt>
                <c:pt idx="5">
                  <c:v>24</c:v>
                </c:pt>
                <c:pt idx="6">
                  <c:v>8</c:v>
                </c:pt>
                <c:pt idx="7">
                  <c:v>168</c:v>
                </c:pt>
              </c:numCache>
            </c:numRef>
          </c:val>
        </c:ser>
        <c:ser>
          <c:idx val="3"/>
          <c:order val="3"/>
          <c:tx>
            <c:strRef>
              <c:f>Sheet1!$E$1</c:f>
              <c:strCache>
                <c:ptCount val="1"/>
                <c:pt idx="0">
                  <c:v>No. of exceptions outstanding</c:v>
                </c:pt>
              </c:strCache>
            </c:strRef>
          </c:tx>
          <c:spPr>
            <a:solidFill>
              <a:srgbClr val="FF0000"/>
            </a:solidFill>
          </c:spPr>
          <c:invertIfNegative val="0"/>
          <c:cat>
            <c:strRef>
              <c:f>Sheet1!$A$2:$A$9</c:f>
              <c:strCache>
                <c:ptCount val="8"/>
                <c:pt idx="0">
                  <c:v>FY1 </c:v>
                </c:pt>
                <c:pt idx="1">
                  <c:v>FY2</c:v>
                </c:pt>
                <c:pt idx="2">
                  <c:v>CT1</c:v>
                </c:pt>
                <c:pt idx="3">
                  <c:v>CT2</c:v>
                </c:pt>
                <c:pt idx="4">
                  <c:v>CT3</c:v>
                </c:pt>
                <c:pt idx="5">
                  <c:v>ST1 - 2</c:v>
                </c:pt>
                <c:pt idx="6">
                  <c:v>ST3 +</c:v>
                </c:pt>
                <c:pt idx="7">
                  <c:v>Total</c:v>
                </c:pt>
              </c:strCache>
            </c:strRef>
          </c:cat>
          <c:val>
            <c:numRef>
              <c:f>Sheet1!$E$2:$E$9</c:f>
              <c:numCache>
                <c:formatCode>General</c:formatCode>
                <c:ptCount val="8"/>
                <c:pt idx="0">
                  <c:v>27</c:v>
                </c:pt>
                <c:pt idx="1">
                  <c:v>0</c:v>
                </c:pt>
                <c:pt idx="2">
                  <c:v>2</c:v>
                </c:pt>
                <c:pt idx="3">
                  <c:v>1</c:v>
                </c:pt>
                <c:pt idx="4">
                  <c:v>1</c:v>
                </c:pt>
                <c:pt idx="5">
                  <c:v>1</c:v>
                </c:pt>
                <c:pt idx="6">
                  <c:v>6</c:v>
                </c:pt>
                <c:pt idx="7">
                  <c:v>38</c:v>
                </c:pt>
              </c:numCache>
            </c:numRef>
          </c:val>
        </c:ser>
        <c:dLbls>
          <c:showLegendKey val="0"/>
          <c:showVal val="0"/>
          <c:showCatName val="0"/>
          <c:showSerName val="0"/>
          <c:showPercent val="0"/>
          <c:showBubbleSize val="0"/>
        </c:dLbls>
        <c:gapWidth val="150"/>
        <c:shape val="box"/>
        <c:axId val="67637632"/>
        <c:axId val="67639168"/>
        <c:axId val="0"/>
      </c:bar3DChart>
      <c:catAx>
        <c:axId val="67637632"/>
        <c:scaling>
          <c:orientation val="minMax"/>
        </c:scaling>
        <c:delete val="0"/>
        <c:axPos val="b"/>
        <c:majorTickMark val="out"/>
        <c:minorTickMark val="none"/>
        <c:tickLblPos val="nextTo"/>
        <c:crossAx val="67639168"/>
        <c:crosses val="autoZero"/>
        <c:auto val="1"/>
        <c:lblAlgn val="ctr"/>
        <c:lblOffset val="100"/>
        <c:noMultiLvlLbl val="0"/>
      </c:catAx>
      <c:valAx>
        <c:axId val="67639168"/>
        <c:scaling>
          <c:orientation val="minMax"/>
        </c:scaling>
        <c:delete val="0"/>
        <c:axPos val="l"/>
        <c:majorGridlines/>
        <c:numFmt formatCode="General" sourceLinked="1"/>
        <c:majorTickMark val="out"/>
        <c:minorTickMark val="none"/>
        <c:tickLblPos val="nextTo"/>
        <c:crossAx val="67637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Graphical</a:t>
            </a:r>
            <a:r>
              <a:rPr lang="en-US" sz="1400" baseline="0"/>
              <a:t> representation of exception reports by outcomes</a:t>
            </a:r>
            <a:endParaRPr lang="en-US" sz="1400"/>
          </a:p>
        </c:rich>
      </c:tx>
      <c:layout>
        <c:manualLayout>
          <c:xMode val="edge"/>
          <c:yMode val="edge"/>
          <c:x val="0.15305588409085089"/>
          <c:y val="6.606307338517669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c:v>
                </c:pt>
              </c:strCache>
            </c:strRef>
          </c:tx>
          <c:explosion val="25"/>
          <c:dLbls>
            <c:showLegendKey val="0"/>
            <c:showVal val="1"/>
            <c:showCatName val="0"/>
            <c:showSerName val="0"/>
            <c:showPercent val="0"/>
            <c:showBubbleSize val="0"/>
            <c:showLeaderLines val="1"/>
          </c:dLbls>
          <c:cat>
            <c:strRef>
              <c:f>Sheet1!$A$2:$A$6</c:f>
              <c:strCache>
                <c:ptCount val="5"/>
                <c:pt idx="0">
                  <c:v>Payment made</c:v>
                </c:pt>
                <c:pt idx="1">
                  <c:v>Time in Lieu</c:v>
                </c:pt>
                <c:pt idx="2">
                  <c:v>No Further action</c:v>
                </c:pt>
                <c:pt idx="3">
                  <c:v>Request further information</c:v>
                </c:pt>
                <c:pt idx="4">
                  <c:v>Awaiting review </c:v>
                </c:pt>
              </c:strCache>
            </c:strRef>
          </c:cat>
          <c:val>
            <c:numRef>
              <c:f>Sheet1!$B$2:$B$6</c:f>
              <c:numCache>
                <c:formatCode>General</c:formatCode>
                <c:ptCount val="5"/>
                <c:pt idx="0">
                  <c:v>105</c:v>
                </c:pt>
                <c:pt idx="1">
                  <c:v>27</c:v>
                </c:pt>
                <c:pt idx="2">
                  <c:v>32</c:v>
                </c:pt>
                <c:pt idx="3">
                  <c:v>10</c:v>
                </c:pt>
                <c:pt idx="4">
                  <c:v>28</c:v>
                </c:pt>
              </c:numCache>
            </c:numRef>
          </c:val>
        </c:ser>
        <c:ser>
          <c:idx val="1"/>
          <c:order val="1"/>
          <c:tx>
            <c:strRef>
              <c:f>Sheet1!$C$1</c:f>
              <c:strCache>
                <c:ptCount val="1"/>
                <c:pt idx="0">
                  <c:v>%</c:v>
                </c:pt>
              </c:strCache>
            </c:strRef>
          </c:tx>
          <c:explosion val="25"/>
          <c:cat>
            <c:strRef>
              <c:f>Sheet1!$A$2:$A$6</c:f>
              <c:strCache>
                <c:ptCount val="5"/>
                <c:pt idx="0">
                  <c:v>Payment made</c:v>
                </c:pt>
                <c:pt idx="1">
                  <c:v>Time in Lieu</c:v>
                </c:pt>
                <c:pt idx="2">
                  <c:v>No Further action</c:v>
                </c:pt>
                <c:pt idx="3">
                  <c:v>Request further information</c:v>
                </c:pt>
                <c:pt idx="4">
                  <c:v>Awaiting review </c:v>
                </c:pt>
              </c:strCache>
            </c:strRef>
          </c:cat>
          <c:val>
            <c:numRef>
              <c:f>Sheet1!$C$2:$C$6</c:f>
              <c:numCache>
                <c:formatCode>0%</c:formatCode>
                <c:ptCount val="5"/>
                <c:pt idx="0">
                  <c:v>0.52</c:v>
                </c:pt>
                <c:pt idx="1">
                  <c:v>0.13</c:v>
                </c:pt>
                <c:pt idx="2">
                  <c:v>0.16</c:v>
                </c:pt>
                <c:pt idx="3">
                  <c:v>0.05</c:v>
                </c:pt>
                <c:pt idx="4">
                  <c:v>0.14000000000000001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Graphical representation of reasons for exception reports</a:t>
            </a:r>
          </a:p>
        </c:rich>
      </c:tx>
      <c:layout>
        <c:manualLayout>
          <c:xMode val="edge"/>
          <c:yMode val="edge"/>
          <c:x val="0.13645090407743699"/>
          <c:y val="5.915909571096555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No. exceptions report raised</c:v>
                </c:pt>
              </c:strCache>
            </c:strRef>
          </c:tx>
          <c:explosion val="25"/>
          <c:dLbls>
            <c:showLegendKey val="0"/>
            <c:showVal val="1"/>
            <c:showCatName val="0"/>
            <c:showSerName val="0"/>
            <c:showPercent val="0"/>
            <c:showBubbleSize val="0"/>
            <c:showLeaderLines val="1"/>
          </c:dLbls>
          <c:cat>
            <c:strRef>
              <c:f>Sheet1!$A$2:$A$4</c:f>
              <c:strCache>
                <c:ptCount val="3"/>
                <c:pt idx="0">
                  <c:v>Educational</c:v>
                </c:pt>
                <c:pt idx="1">
                  <c:v>Additional hours</c:v>
                </c:pt>
                <c:pt idx="2">
                  <c:v>Unable to take breaks</c:v>
                </c:pt>
              </c:strCache>
            </c:strRef>
          </c:cat>
          <c:val>
            <c:numRef>
              <c:f>Sheet1!$B$2:$B$4</c:f>
              <c:numCache>
                <c:formatCode>General</c:formatCode>
                <c:ptCount val="3"/>
                <c:pt idx="0">
                  <c:v>9</c:v>
                </c:pt>
                <c:pt idx="1">
                  <c:v>180</c:v>
                </c:pt>
                <c:pt idx="2">
                  <c:v>13</c:v>
                </c:pt>
              </c:numCache>
            </c:numRef>
          </c:val>
        </c:ser>
        <c:ser>
          <c:idx val="1"/>
          <c:order val="1"/>
          <c:tx>
            <c:strRef>
              <c:f>Sheet1!$C$1</c:f>
              <c:strCache>
                <c:ptCount val="1"/>
                <c:pt idx="0">
                  <c:v>%</c:v>
                </c:pt>
              </c:strCache>
            </c:strRef>
          </c:tx>
          <c:explosion val="25"/>
          <c:cat>
            <c:strRef>
              <c:f>Sheet1!$A$2:$A$4</c:f>
              <c:strCache>
                <c:ptCount val="3"/>
                <c:pt idx="0">
                  <c:v>Educational</c:v>
                </c:pt>
                <c:pt idx="1">
                  <c:v>Additional hours</c:v>
                </c:pt>
                <c:pt idx="2">
                  <c:v>Unable to take breaks</c:v>
                </c:pt>
              </c:strCache>
            </c:strRef>
          </c:cat>
          <c:val>
            <c:numRef>
              <c:f>Sheet1!$C$2:$C$4</c:f>
              <c:numCache>
                <c:formatCode>0%</c:formatCode>
                <c:ptCount val="3"/>
                <c:pt idx="0">
                  <c:v>0.04</c:v>
                </c:pt>
                <c:pt idx="1">
                  <c:v>0.89</c:v>
                </c:pt>
                <c:pt idx="2">
                  <c:v>7.0000000000000007E-2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Graphical representation of reasons for exception reports</a:t>
            </a:r>
          </a:p>
        </c:rich>
      </c:tx>
      <c:layout>
        <c:manualLayout>
          <c:xMode val="edge"/>
          <c:yMode val="edge"/>
          <c:x val="0.14042621803341038"/>
          <c:y val="5.7807789506187889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c:v>
                </c:pt>
              </c:strCache>
            </c:strRef>
          </c:tx>
          <c:explosion val="25"/>
          <c:dLbls>
            <c:showLegendKey val="0"/>
            <c:showVal val="1"/>
            <c:showCatName val="0"/>
            <c:showSerName val="0"/>
            <c:showPercent val="0"/>
            <c:showBubbleSize val="0"/>
            <c:showLeaderLines val="1"/>
          </c:dLbls>
          <c:cat>
            <c:strRef>
              <c:f>Sheet1!$A$2:$A$5</c:f>
              <c:strCache>
                <c:ptCount val="4"/>
                <c:pt idx="0">
                  <c:v>High workload</c:v>
                </c:pt>
                <c:pt idx="1">
                  <c:v>Low staffing levels</c:v>
                </c:pt>
                <c:pt idx="2">
                  <c:v>Clinical reasons</c:v>
                </c:pt>
                <c:pt idx="3">
                  <c:v>Late starting/finishing ward rounds</c:v>
                </c:pt>
              </c:strCache>
            </c:strRef>
          </c:cat>
          <c:val>
            <c:numRef>
              <c:f>Sheet1!$B$2:$B$5</c:f>
              <c:numCache>
                <c:formatCode>General</c:formatCode>
                <c:ptCount val="4"/>
                <c:pt idx="0">
                  <c:v>119</c:v>
                </c:pt>
                <c:pt idx="1">
                  <c:v>51</c:v>
                </c:pt>
                <c:pt idx="2">
                  <c:v>22</c:v>
                </c:pt>
                <c:pt idx="3">
                  <c:v>10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Total number of exception reports raised</a:t>
            </a:r>
          </a:p>
        </c:rich>
      </c:tx>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howLegendKey val="0"/>
            <c:showVal val="1"/>
            <c:showCatName val="0"/>
            <c:showSerName val="0"/>
            <c:showPercent val="0"/>
            <c:showBubbleSize val="0"/>
            <c:showLeaderLines val="0"/>
          </c:dLbls>
          <c:cat>
            <c:strRef>
              <c:f>Sheet1!$A$2:$A$16</c:f>
              <c:strCache>
                <c:ptCount val="15"/>
                <c:pt idx="0">
                  <c:v>July 2018</c:v>
                </c:pt>
                <c:pt idx="1">
                  <c:v>August 2018</c:v>
                </c:pt>
                <c:pt idx="2">
                  <c:v>September 2018</c:v>
                </c:pt>
                <c:pt idx="3">
                  <c:v>October 2018</c:v>
                </c:pt>
                <c:pt idx="4">
                  <c:v>November 2018</c:v>
                </c:pt>
                <c:pt idx="5">
                  <c:v>December 2018</c:v>
                </c:pt>
                <c:pt idx="6">
                  <c:v>January 2019</c:v>
                </c:pt>
                <c:pt idx="7">
                  <c:v>February 2019</c:v>
                </c:pt>
                <c:pt idx="8">
                  <c:v>March 2019</c:v>
                </c:pt>
                <c:pt idx="9">
                  <c:v>April 2019</c:v>
                </c:pt>
                <c:pt idx="10">
                  <c:v>May 2019</c:v>
                </c:pt>
                <c:pt idx="11">
                  <c:v>June 2019</c:v>
                </c:pt>
                <c:pt idx="12">
                  <c:v>July 2019</c:v>
                </c:pt>
                <c:pt idx="13">
                  <c:v>August 2019</c:v>
                </c:pt>
                <c:pt idx="14">
                  <c:v>September 2019</c:v>
                </c:pt>
              </c:strCache>
            </c:strRef>
          </c:cat>
          <c:val>
            <c:numRef>
              <c:f>Sheet1!$B$2:$B$16</c:f>
              <c:numCache>
                <c:formatCode>General</c:formatCode>
                <c:ptCount val="15"/>
                <c:pt idx="0">
                  <c:v>11</c:v>
                </c:pt>
                <c:pt idx="1">
                  <c:v>59</c:v>
                </c:pt>
                <c:pt idx="2">
                  <c:v>60</c:v>
                </c:pt>
                <c:pt idx="3">
                  <c:v>60</c:v>
                </c:pt>
                <c:pt idx="4">
                  <c:v>36</c:v>
                </c:pt>
                <c:pt idx="5">
                  <c:v>23</c:v>
                </c:pt>
                <c:pt idx="6">
                  <c:v>72</c:v>
                </c:pt>
                <c:pt idx="7">
                  <c:v>45</c:v>
                </c:pt>
                <c:pt idx="8">
                  <c:v>45</c:v>
                </c:pt>
                <c:pt idx="9">
                  <c:v>27</c:v>
                </c:pt>
                <c:pt idx="10">
                  <c:v>67</c:v>
                </c:pt>
                <c:pt idx="11">
                  <c:v>35</c:v>
                </c:pt>
                <c:pt idx="12">
                  <c:v>49</c:v>
                </c:pt>
                <c:pt idx="13">
                  <c:v>62</c:v>
                </c:pt>
                <c:pt idx="14">
                  <c:v>91</c:v>
                </c:pt>
              </c:numCache>
            </c:numRef>
          </c:val>
        </c:ser>
        <c:dLbls>
          <c:showLegendKey val="0"/>
          <c:showVal val="0"/>
          <c:showCatName val="0"/>
          <c:showSerName val="0"/>
          <c:showPercent val="0"/>
          <c:showBubbleSize val="0"/>
        </c:dLbls>
        <c:gapWidth val="150"/>
        <c:axId val="103291904"/>
        <c:axId val="103301888"/>
      </c:barChart>
      <c:catAx>
        <c:axId val="103291904"/>
        <c:scaling>
          <c:orientation val="minMax"/>
        </c:scaling>
        <c:delete val="0"/>
        <c:axPos val="b"/>
        <c:majorTickMark val="out"/>
        <c:minorTickMark val="none"/>
        <c:tickLblPos val="nextTo"/>
        <c:crossAx val="103301888"/>
        <c:crosses val="autoZero"/>
        <c:auto val="1"/>
        <c:lblAlgn val="ctr"/>
        <c:lblOffset val="100"/>
        <c:noMultiLvlLbl val="0"/>
      </c:catAx>
      <c:valAx>
        <c:axId val="103301888"/>
        <c:scaling>
          <c:orientation val="minMax"/>
        </c:scaling>
        <c:delete val="0"/>
        <c:axPos val="l"/>
        <c:majorGridlines/>
        <c:numFmt formatCode="General" sourceLinked="1"/>
        <c:majorTickMark val="out"/>
        <c:minorTickMark val="none"/>
        <c:tickLblPos val="nextTo"/>
        <c:crossAx val="1032919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Graphical representation of above data</a:t>
            </a:r>
          </a:p>
        </c:rich>
      </c:tx>
      <c:layout>
        <c:manualLayout>
          <c:xMode val="edge"/>
          <c:yMode val="edge"/>
          <c:x val="0.21804080835174133"/>
          <c:y val="2.4772352372362125E-2"/>
        </c:manualLayout>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chemeClr val="accent3">
                  <a:lumMod val="60000"/>
                  <a:lumOff val="40000"/>
                </a:schemeClr>
              </a:solidFill>
            </c:spPr>
          </c:dPt>
          <c:dPt>
            <c:idx val="3"/>
            <c:invertIfNegative val="0"/>
            <c:bubble3D val="0"/>
            <c:spPr>
              <a:solidFill>
                <a:schemeClr val="accent3">
                  <a:lumMod val="60000"/>
                  <a:lumOff val="40000"/>
                </a:schemeClr>
              </a:solidFill>
            </c:spPr>
          </c:dPt>
          <c:dPt>
            <c:idx val="5"/>
            <c:invertIfNegative val="0"/>
            <c:bubble3D val="0"/>
            <c:spPr>
              <a:solidFill>
                <a:schemeClr val="accent3">
                  <a:lumMod val="60000"/>
                  <a:lumOff val="40000"/>
                </a:schemeClr>
              </a:solidFill>
            </c:spPr>
          </c:dPt>
          <c:dLbls>
            <c:showLegendKey val="0"/>
            <c:showVal val="1"/>
            <c:showCatName val="0"/>
            <c:showSerName val="0"/>
            <c:showPercent val="0"/>
            <c:showBubbleSize val="0"/>
            <c:showLeaderLines val="0"/>
          </c:dLbls>
          <c:cat>
            <c:strRef>
              <c:f>Sheet1!$A$2:$A$7</c:f>
              <c:strCache>
                <c:ptCount val="6"/>
                <c:pt idx="0">
                  <c:v>July 2018</c:v>
                </c:pt>
                <c:pt idx="1">
                  <c:v>July 2019</c:v>
                </c:pt>
                <c:pt idx="2">
                  <c:v>August 2018</c:v>
                </c:pt>
                <c:pt idx="3">
                  <c:v>August 2019</c:v>
                </c:pt>
                <c:pt idx="4">
                  <c:v>September 2018</c:v>
                </c:pt>
                <c:pt idx="5">
                  <c:v>September 2019</c:v>
                </c:pt>
              </c:strCache>
            </c:strRef>
          </c:cat>
          <c:val>
            <c:numRef>
              <c:f>Sheet1!$B$2:$B$7</c:f>
              <c:numCache>
                <c:formatCode>General</c:formatCode>
                <c:ptCount val="6"/>
                <c:pt idx="0">
                  <c:v>11</c:v>
                </c:pt>
                <c:pt idx="1">
                  <c:v>49</c:v>
                </c:pt>
                <c:pt idx="2">
                  <c:v>59</c:v>
                </c:pt>
                <c:pt idx="3">
                  <c:v>62</c:v>
                </c:pt>
                <c:pt idx="4">
                  <c:v>60</c:v>
                </c:pt>
                <c:pt idx="5">
                  <c:v>91</c:v>
                </c:pt>
              </c:numCache>
            </c:numRef>
          </c:val>
        </c:ser>
        <c:ser>
          <c:idx val="2"/>
          <c:order val="1"/>
          <c:tx>
            <c:strRef>
              <c:f>Sheet1!$D$1</c:f>
              <c:strCache>
                <c:ptCount val="1"/>
                <c:pt idx="0">
                  <c:v>Series 3</c:v>
                </c:pt>
              </c:strCache>
            </c:strRef>
          </c:tx>
          <c:invertIfNegative val="0"/>
          <c:cat>
            <c:strRef>
              <c:f>Sheet1!$A$2:$A$7</c:f>
              <c:strCache>
                <c:ptCount val="6"/>
                <c:pt idx="0">
                  <c:v>July 2018</c:v>
                </c:pt>
                <c:pt idx="1">
                  <c:v>July 2019</c:v>
                </c:pt>
                <c:pt idx="2">
                  <c:v>August 2018</c:v>
                </c:pt>
                <c:pt idx="3">
                  <c:v>August 2019</c:v>
                </c:pt>
                <c:pt idx="4">
                  <c:v>September 2018</c:v>
                </c:pt>
                <c:pt idx="5">
                  <c:v>September 2019</c:v>
                </c:pt>
              </c:strCache>
            </c:strRef>
          </c:cat>
          <c:val>
            <c:numRef>
              <c:f>Sheet1!$D$2:$D$7</c:f>
            </c:numRef>
          </c:val>
        </c:ser>
        <c:dLbls>
          <c:showLegendKey val="0"/>
          <c:showVal val="0"/>
          <c:showCatName val="0"/>
          <c:showSerName val="0"/>
          <c:showPercent val="0"/>
          <c:showBubbleSize val="0"/>
        </c:dLbls>
        <c:gapWidth val="150"/>
        <c:axId val="103037568"/>
        <c:axId val="103039360"/>
      </c:barChart>
      <c:catAx>
        <c:axId val="103037568"/>
        <c:scaling>
          <c:orientation val="minMax"/>
        </c:scaling>
        <c:delete val="0"/>
        <c:axPos val="b"/>
        <c:majorTickMark val="out"/>
        <c:minorTickMark val="none"/>
        <c:tickLblPos val="nextTo"/>
        <c:crossAx val="103039360"/>
        <c:crosses val="autoZero"/>
        <c:auto val="1"/>
        <c:lblAlgn val="ctr"/>
        <c:lblOffset val="100"/>
        <c:noMultiLvlLbl val="0"/>
      </c:catAx>
      <c:valAx>
        <c:axId val="103039360"/>
        <c:scaling>
          <c:orientation val="minMax"/>
        </c:scaling>
        <c:delete val="0"/>
        <c:axPos val="l"/>
        <c:majorGridlines/>
        <c:numFmt formatCode="General" sourceLinked="1"/>
        <c:majorTickMark val="out"/>
        <c:minorTickMark val="none"/>
        <c:tickLblPos val="nextTo"/>
        <c:crossAx val="1030375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C5CB-9B11-4E96-B1D1-F1DBDAA9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31053</CharactersWithSpaces>
  <SharedDoc>false</SharedDoc>
  <HLinks>
    <vt:vector size="6" baseType="variant">
      <vt:variant>
        <vt:i4>5046393</vt:i4>
      </vt:variant>
      <vt:variant>
        <vt:i4>0</vt:i4>
      </vt:variant>
      <vt:variant>
        <vt:i4>0</vt:i4>
      </vt:variant>
      <vt:variant>
        <vt:i4>5</vt:i4>
      </vt:variant>
      <vt:variant>
        <vt:lpwstr>mailto:gerard.terriere@mft.nhs.uk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Lisa (RW3) CMFT Manchester</dc:creator>
  <cp:lastModifiedBy>Terriere Gerard (R0A) Manchester University NHS FT</cp:lastModifiedBy>
  <cp:revision>2</cp:revision>
  <cp:lastPrinted>2019-11-07T15:07:00Z</cp:lastPrinted>
  <dcterms:created xsi:type="dcterms:W3CDTF">2019-11-28T08:02:00Z</dcterms:created>
  <dcterms:modified xsi:type="dcterms:W3CDTF">2019-11-28T08:02:00Z</dcterms:modified>
</cp:coreProperties>
</file>