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A99" w:rsidRDefault="00BF6A99" w:rsidP="00346BCF">
      <w:pPr>
        <w:jc w:val="right"/>
        <w:rPr>
          <w:rFonts w:cs="Arial"/>
          <w:b/>
          <w:sz w:val="18"/>
        </w:rPr>
      </w:pPr>
      <w:r>
        <w:rPr>
          <w:rFonts w:cs="Arial"/>
          <w:b/>
          <w:sz w:val="20"/>
        </w:rPr>
        <w:t>Department of Immunology</w:t>
      </w:r>
    </w:p>
    <w:p w:rsidR="00BF6A99" w:rsidRDefault="00345EE8" w:rsidP="00345EE8">
      <w:pPr>
        <w:jc w:val="right"/>
        <w:rPr>
          <w:rFonts w:cs="Arial"/>
          <w:sz w:val="18"/>
        </w:rPr>
      </w:pPr>
      <w:r>
        <w:tab/>
      </w:r>
      <w:r w:rsidR="00BF6A99">
        <w:rPr>
          <w:rFonts w:cs="Arial"/>
          <w:sz w:val="18"/>
        </w:rPr>
        <w:t>Manchester Royal Infirmary</w:t>
      </w:r>
    </w:p>
    <w:p w:rsidR="00BF6A99" w:rsidRDefault="00BF6A99" w:rsidP="00BF6A99">
      <w:pPr>
        <w:jc w:val="right"/>
        <w:rPr>
          <w:rFonts w:cs="Arial"/>
          <w:sz w:val="18"/>
        </w:rPr>
      </w:pPr>
      <w:r>
        <w:rPr>
          <w:rFonts w:cs="Arial"/>
          <w:sz w:val="18"/>
        </w:rPr>
        <w:t>Oxford Road</w:t>
      </w:r>
    </w:p>
    <w:p w:rsidR="00BF6A99" w:rsidRDefault="00BF6A99" w:rsidP="00BF6A99">
      <w:pPr>
        <w:jc w:val="right"/>
        <w:rPr>
          <w:rFonts w:cs="Arial"/>
          <w:sz w:val="18"/>
        </w:rPr>
      </w:pPr>
      <w:smartTag w:uri="urn:schemas-microsoft-com:office:smarttags" w:element="City">
        <w:smartTag w:uri="urn:schemas-microsoft-com:office:smarttags" w:element="place">
          <w:r>
            <w:rPr>
              <w:rFonts w:cs="Arial"/>
              <w:sz w:val="18"/>
            </w:rPr>
            <w:t>Manchester</w:t>
          </w:r>
        </w:smartTag>
      </w:smartTag>
      <w:r>
        <w:rPr>
          <w:rFonts w:cs="Arial"/>
          <w:sz w:val="18"/>
        </w:rPr>
        <w:t xml:space="preserve"> </w:t>
      </w:r>
    </w:p>
    <w:p w:rsidR="00BF6A99" w:rsidRDefault="00BF6A99" w:rsidP="00346BCF">
      <w:pPr>
        <w:jc w:val="right"/>
        <w:rPr>
          <w:rFonts w:cs="Arial"/>
          <w:sz w:val="18"/>
        </w:rPr>
      </w:pPr>
      <w:r>
        <w:rPr>
          <w:rFonts w:cs="Arial"/>
          <w:sz w:val="18"/>
        </w:rPr>
        <w:t>M13 9WL</w:t>
      </w:r>
    </w:p>
    <w:p w:rsidR="00BF6A99" w:rsidRDefault="00BF6A99" w:rsidP="00BF6A99">
      <w:pPr>
        <w:jc w:val="center"/>
        <w:rPr>
          <w:rFonts w:cs="Arial"/>
          <w:sz w:val="16"/>
        </w:rPr>
      </w:pPr>
      <w:r>
        <w:rPr>
          <w:rFonts w:cs="Arial"/>
          <w:sz w:val="16"/>
        </w:rPr>
        <w:t>Direct Line 0161 276 6</w:t>
      </w:r>
      <w:r w:rsidR="004917C8">
        <w:rPr>
          <w:rFonts w:cs="Arial"/>
          <w:sz w:val="16"/>
        </w:rPr>
        <w:t>686 Office Hours 09:00 to 17:00</w:t>
      </w:r>
    </w:p>
    <w:p w:rsidR="00BF6A99" w:rsidRDefault="00BF6A99" w:rsidP="00BF6A99">
      <w:pPr>
        <w:pBdr>
          <w:bottom w:val="single" w:sz="4" w:space="1" w:color="auto"/>
        </w:pBdr>
        <w:jc w:val="center"/>
        <w:rPr>
          <w:rFonts w:cs="Arial"/>
          <w:sz w:val="16"/>
        </w:rPr>
      </w:pPr>
    </w:p>
    <w:p w:rsidR="00BF6A99" w:rsidRDefault="00BF6A99" w:rsidP="00BF6A99">
      <w:pPr>
        <w:rPr>
          <w:rFonts w:cs="Arial"/>
          <w:sz w:val="20"/>
        </w:rPr>
      </w:pPr>
    </w:p>
    <w:p w:rsidR="00BF6A99" w:rsidRDefault="00BF6A99" w:rsidP="00BF6A99">
      <w:pPr>
        <w:rPr>
          <w:rFonts w:cs="Arial"/>
          <w:sz w:val="20"/>
        </w:rPr>
      </w:pPr>
      <w:r w:rsidRPr="00CA4A17">
        <w:rPr>
          <w:rFonts w:cs="Arial"/>
          <w:sz w:val="20"/>
        </w:rPr>
        <w:t>To Whom It May Concern:</w:t>
      </w:r>
    </w:p>
    <w:p w:rsidR="00BF6A99" w:rsidRDefault="00BF6A99" w:rsidP="00BF6A99">
      <w:pPr>
        <w:rPr>
          <w:rFonts w:cs="Arial"/>
          <w:sz w:val="20"/>
        </w:rPr>
      </w:pPr>
    </w:p>
    <w:p w:rsidR="007341C7" w:rsidRDefault="007341C7" w:rsidP="007341C7">
      <w:pPr>
        <w:numPr>
          <w:ilvl w:val="0"/>
          <w:numId w:val="3"/>
        </w:numPr>
        <w:jc w:val="both"/>
        <w:rPr>
          <w:rFonts w:cs="Arial"/>
          <w:sz w:val="20"/>
        </w:rPr>
      </w:pPr>
      <w:r>
        <w:rPr>
          <w:rFonts w:cs="Arial"/>
          <w:sz w:val="20"/>
        </w:rPr>
        <w:t>This patient has hereditary angioedema/acquired angioedema</w:t>
      </w:r>
      <w:r w:rsidR="00974CAD">
        <w:rPr>
          <w:rFonts w:cs="Arial"/>
          <w:sz w:val="20"/>
        </w:rPr>
        <w:t xml:space="preserve"> (HAE/AAE)</w:t>
      </w:r>
      <w:r>
        <w:rPr>
          <w:rFonts w:cs="Arial"/>
          <w:sz w:val="20"/>
        </w:rPr>
        <w:t xml:space="preserve">.  This can cause recurrent attacks of abdominal pain, limb swelling or laryngeal obstruction.  </w:t>
      </w:r>
    </w:p>
    <w:p w:rsidR="00BF6A99" w:rsidRDefault="00BF6A99" w:rsidP="00BF6A99">
      <w:pPr>
        <w:rPr>
          <w:rFonts w:cs="Arial"/>
          <w:sz w:val="20"/>
        </w:rPr>
      </w:pPr>
    </w:p>
    <w:p w:rsidR="00CB5F46" w:rsidRDefault="00CB5F46" w:rsidP="00BF6A99">
      <w:pPr>
        <w:numPr>
          <w:ilvl w:val="0"/>
          <w:numId w:val="3"/>
        </w:numPr>
        <w:jc w:val="both"/>
        <w:rPr>
          <w:rFonts w:cs="Arial"/>
          <w:sz w:val="20"/>
        </w:rPr>
      </w:pPr>
      <w:bookmarkStart w:id="0" w:name="mybookmark"/>
      <w:bookmarkEnd w:id="0"/>
      <w:r>
        <w:rPr>
          <w:rFonts w:cs="Arial"/>
          <w:sz w:val="20"/>
        </w:rPr>
        <w:t xml:space="preserve">Please read this in conjunction with the patient’s </w:t>
      </w:r>
      <w:r w:rsidR="00B90756">
        <w:rPr>
          <w:rFonts w:cs="Arial"/>
          <w:sz w:val="20"/>
        </w:rPr>
        <w:t xml:space="preserve">recent </w:t>
      </w:r>
      <w:r>
        <w:rPr>
          <w:rFonts w:cs="Arial"/>
          <w:sz w:val="20"/>
        </w:rPr>
        <w:t xml:space="preserve">clinic letter </w:t>
      </w:r>
      <w:r w:rsidR="00B90756">
        <w:rPr>
          <w:rFonts w:cs="Arial"/>
          <w:sz w:val="20"/>
        </w:rPr>
        <w:t xml:space="preserve">(carried by the patient) </w:t>
      </w:r>
      <w:r>
        <w:rPr>
          <w:rFonts w:cs="Arial"/>
          <w:sz w:val="20"/>
        </w:rPr>
        <w:t>that confirms</w:t>
      </w:r>
      <w:r w:rsidR="007341C7">
        <w:rPr>
          <w:rFonts w:cs="Arial"/>
          <w:sz w:val="20"/>
        </w:rPr>
        <w:t xml:space="preserve"> the patient details, diagnosis, </w:t>
      </w:r>
      <w:r w:rsidR="00974CAD">
        <w:rPr>
          <w:rFonts w:cs="Arial"/>
          <w:sz w:val="20"/>
        </w:rPr>
        <w:t>and recommended</w:t>
      </w:r>
      <w:r>
        <w:rPr>
          <w:rFonts w:cs="Arial"/>
          <w:sz w:val="20"/>
        </w:rPr>
        <w:t xml:space="preserve"> dose</w:t>
      </w:r>
      <w:r w:rsidR="00974CAD">
        <w:rPr>
          <w:rFonts w:cs="Arial"/>
          <w:sz w:val="20"/>
        </w:rPr>
        <w:t xml:space="preserve"> and product</w:t>
      </w:r>
      <w:r>
        <w:rPr>
          <w:rFonts w:cs="Arial"/>
          <w:sz w:val="20"/>
        </w:rPr>
        <w:t xml:space="preserve"> of C1 </w:t>
      </w:r>
      <w:r w:rsidR="00974CAD">
        <w:rPr>
          <w:rFonts w:cs="Arial"/>
          <w:sz w:val="20"/>
        </w:rPr>
        <w:t xml:space="preserve">esterase </w:t>
      </w:r>
      <w:r>
        <w:rPr>
          <w:rFonts w:cs="Arial"/>
          <w:sz w:val="20"/>
        </w:rPr>
        <w:t xml:space="preserve">inhibitor </w:t>
      </w:r>
      <w:r w:rsidR="00974CAD">
        <w:rPr>
          <w:rFonts w:cs="Arial"/>
          <w:sz w:val="20"/>
        </w:rPr>
        <w:t xml:space="preserve">(C1INH) </w:t>
      </w:r>
      <w:r w:rsidR="007341C7">
        <w:rPr>
          <w:rFonts w:cs="Arial"/>
          <w:sz w:val="20"/>
        </w:rPr>
        <w:t>and / or icatibant</w:t>
      </w:r>
      <w:r>
        <w:rPr>
          <w:rFonts w:cs="Arial"/>
          <w:sz w:val="20"/>
        </w:rPr>
        <w:t>.</w:t>
      </w:r>
      <w:r w:rsidR="007341C7">
        <w:rPr>
          <w:rFonts w:cs="Arial"/>
          <w:sz w:val="20"/>
        </w:rPr>
        <w:t xml:space="preserve"> Patients will usually carry their own treatment and will often be trained to self-administer.</w:t>
      </w:r>
    </w:p>
    <w:p w:rsidR="00BF6A99" w:rsidRDefault="00BF6A99" w:rsidP="00BF6A99">
      <w:pPr>
        <w:jc w:val="both"/>
        <w:rPr>
          <w:rFonts w:cs="Arial"/>
          <w:sz w:val="20"/>
        </w:rPr>
      </w:pPr>
    </w:p>
    <w:p w:rsidR="00BF6A99" w:rsidRDefault="007341C7" w:rsidP="00BF6A99">
      <w:pPr>
        <w:numPr>
          <w:ilvl w:val="0"/>
          <w:numId w:val="3"/>
        </w:numPr>
        <w:jc w:val="both"/>
        <w:rPr>
          <w:rFonts w:cs="Arial"/>
          <w:sz w:val="20"/>
        </w:rPr>
      </w:pPr>
      <w:r>
        <w:rPr>
          <w:rFonts w:cs="Arial"/>
          <w:sz w:val="20"/>
        </w:rPr>
        <w:t xml:space="preserve">Treatment of laryngeal HAE attacks is a </w:t>
      </w:r>
      <w:r w:rsidRPr="00FD5ED3">
        <w:rPr>
          <w:rFonts w:cs="Arial"/>
          <w:b/>
          <w:bCs/>
          <w:sz w:val="20"/>
        </w:rPr>
        <w:t>medical emergency</w:t>
      </w:r>
      <w:r>
        <w:rPr>
          <w:rFonts w:cs="Arial"/>
          <w:sz w:val="20"/>
        </w:rPr>
        <w:t>. The s</w:t>
      </w:r>
      <w:r w:rsidR="00BF6A99">
        <w:rPr>
          <w:rFonts w:cs="Arial"/>
          <w:sz w:val="20"/>
        </w:rPr>
        <w:t xml:space="preserve">ymptoms </w:t>
      </w:r>
      <w:r>
        <w:rPr>
          <w:rFonts w:cs="Arial"/>
          <w:sz w:val="20"/>
        </w:rPr>
        <w:t xml:space="preserve">of HAE </w:t>
      </w:r>
      <w:r w:rsidR="004D5E27">
        <w:rPr>
          <w:rFonts w:cs="Arial"/>
          <w:sz w:val="20"/>
        </w:rPr>
        <w:t>are unlikely to respond to adrenaline, anti</w:t>
      </w:r>
      <w:r w:rsidR="00BF6A99">
        <w:rPr>
          <w:rFonts w:cs="Arial"/>
          <w:sz w:val="20"/>
        </w:rPr>
        <w:t xml:space="preserve">histamines or steroids.  </w:t>
      </w:r>
    </w:p>
    <w:p w:rsidR="00BF6A99" w:rsidRDefault="00BF6A99" w:rsidP="00BF6A99">
      <w:pPr>
        <w:jc w:val="both"/>
        <w:rPr>
          <w:rFonts w:cs="Arial"/>
          <w:sz w:val="20"/>
        </w:rPr>
      </w:pPr>
    </w:p>
    <w:p w:rsidR="007341C7" w:rsidRDefault="00BF6A99" w:rsidP="007341C7">
      <w:pPr>
        <w:numPr>
          <w:ilvl w:val="0"/>
          <w:numId w:val="3"/>
        </w:numPr>
        <w:jc w:val="both"/>
        <w:rPr>
          <w:rFonts w:cs="Arial"/>
          <w:sz w:val="20"/>
        </w:rPr>
      </w:pPr>
      <w:r w:rsidRPr="007341C7">
        <w:rPr>
          <w:rFonts w:cs="Arial"/>
          <w:sz w:val="20"/>
        </w:rPr>
        <w:t xml:space="preserve">Treatment of choice is </w:t>
      </w:r>
      <w:r w:rsidR="00974CAD">
        <w:rPr>
          <w:rFonts w:cs="Arial"/>
          <w:sz w:val="20"/>
        </w:rPr>
        <w:t xml:space="preserve">C1INH </w:t>
      </w:r>
      <w:r w:rsidRPr="007341C7">
        <w:rPr>
          <w:rFonts w:cs="Arial"/>
          <w:sz w:val="20"/>
        </w:rPr>
        <w:t xml:space="preserve">given intravenously over five to ten minutes.  If the symptoms do not improve a further </w:t>
      </w:r>
      <w:r w:rsidR="00CB5F46" w:rsidRPr="007341C7">
        <w:rPr>
          <w:rFonts w:cs="Arial"/>
          <w:sz w:val="20"/>
        </w:rPr>
        <w:t xml:space="preserve">dose </w:t>
      </w:r>
      <w:r w:rsidRPr="007341C7">
        <w:rPr>
          <w:rFonts w:cs="Arial"/>
          <w:sz w:val="20"/>
        </w:rPr>
        <w:t>can be given or contact an immunology consultant on the telephone number be</w:t>
      </w:r>
      <w:r w:rsidR="000C2874">
        <w:rPr>
          <w:rFonts w:cs="Arial"/>
          <w:sz w:val="20"/>
        </w:rPr>
        <w:t>low (no guaranteed out of hours provision)</w:t>
      </w:r>
      <w:r w:rsidRPr="007341C7">
        <w:rPr>
          <w:rFonts w:cs="Arial"/>
          <w:sz w:val="20"/>
        </w:rPr>
        <w:t xml:space="preserve">.  </w:t>
      </w:r>
    </w:p>
    <w:p w:rsidR="00974CAD" w:rsidRDefault="00974CAD" w:rsidP="00974CAD">
      <w:pPr>
        <w:pStyle w:val="ListParagraph"/>
        <w:rPr>
          <w:rFonts w:cs="Arial"/>
          <w:sz w:val="20"/>
        </w:rPr>
      </w:pPr>
    </w:p>
    <w:p w:rsidR="00974CAD" w:rsidRPr="007341C7" w:rsidRDefault="00974CAD" w:rsidP="00974CAD">
      <w:pPr>
        <w:numPr>
          <w:ilvl w:val="0"/>
          <w:numId w:val="3"/>
        </w:numPr>
        <w:jc w:val="both"/>
        <w:rPr>
          <w:rFonts w:cs="Arial"/>
          <w:sz w:val="20"/>
        </w:rPr>
      </w:pPr>
      <w:r w:rsidRPr="00974CAD">
        <w:rPr>
          <w:rFonts w:cs="Arial"/>
          <w:sz w:val="20"/>
        </w:rPr>
        <w:t>Patients</w:t>
      </w:r>
      <w:r w:rsidR="00346BCF">
        <w:rPr>
          <w:rFonts w:cs="Arial"/>
          <w:sz w:val="20"/>
        </w:rPr>
        <w:t xml:space="preserve"> will be prescribed one of 3</w:t>
      </w:r>
      <w:r>
        <w:rPr>
          <w:rFonts w:cs="Arial"/>
          <w:sz w:val="20"/>
        </w:rPr>
        <w:t xml:space="preserve"> C1</w:t>
      </w:r>
      <w:r w:rsidRPr="00974CAD">
        <w:rPr>
          <w:rFonts w:cs="Arial"/>
          <w:sz w:val="20"/>
        </w:rPr>
        <w:t xml:space="preserve">INH products, </w:t>
      </w:r>
      <w:r>
        <w:rPr>
          <w:rFonts w:cs="Arial"/>
          <w:sz w:val="20"/>
        </w:rPr>
        <w:t>B</w:t>
      </w:r>
      <w:r w:rsidR="00346BCF">
        <w:rPr>
          <w:rFonts w:cs="Arial"/>
          <w:sz w:val="20"/>
        </w:rPr>
        <w:t xml:space="preserve">erinert, </w:t>
      </w:r>
      <w:r>
        <w:rPr>
          <w:rFonts w:cs="Arial"/>
          <w:sz w:val="20"/>
        </w:rPr>
        <w:t>C</w:t>
      </w:r>
      <w:r w:rsidRPr="00974CAD">
        <w:rPr>
          <w:rFonts w:cs="Arial"/>
          <w:sz w:val="20"/>
        </w:rPr>
        <w:t>inryze</w:t>
      </w:r>
      <w:r w:rsidR="00346BCF">
        <w:rPr>
          <w:rFonts w:cs="Arial"/>
          <w:sz w:val="20"/>
        </w:rPr>
        <w:t xml:space="preserve"> or Ruconest</w:t>
      </w:r>
      <w:r w:rsidRPr="00974CAD">
        <w:rPr>
          <w:rFonts w:cs="Arial"/>
          <w:sz w:val="20"/>
        </w:rPr>
        <w:t xml:space="preserve">.  </w:t>
      </w:r>
      <w:r w:rsidR="00346BCF">
        <w:rPr>
          <w:rFonts w:cs="Arial"/>
          <w:sz w:val="20"/>
        </w:rPr>
        <w:t xml:space="preserve">All </w:t>
      </w:r>
      <w:r w:rsidRPr="00974CAD">
        <w:rPr>
          <w:rFonts w:cs="Arial"/>
          <w:sz w:val="20"/>
        </w:rPr>
        <w:t xml:space="preserve">products can be stored at room temperature.  If </w:t>
      </w:r>
      <w:r>
        <w:rPr>
          <w:rFonts w:cs="Arial"/>
          <w:sz w:val="20"/>
        </w:rPr>
        <w:t>you have to give a different C1</w:t>
      </w:r>
      <w:r w:rsidRPr="00974CAD">
        <w:rPr>
          <w:rFonts w:cs="Arial"/>
          <w:sz w:val="20"/>
        </w:rPr>
        <w:t xml:space="preserve">INH product </w:t>
      </w:r>
      <w:r>
        <w:rPr>
          <w:rFonts w:cs="Arial"/>
          <w:sz w:val="20"/>
        </w:rPr>
        <w:t>to the patient</w:t>
      </w:r>
      <w:r w:rsidR="00FD5ED3">
        <w:rPr>
          <w:rFonts w:cs="Arial"/>
          <w:sz w:val="20"/>
        </w:rPr>
        <w:t>’</w:t>
      </w:r>
      <w:r>
        <w:rPr>
          <w:rFonts w:cs="Arial"/>
          <w:sz w:val="20"/>
        </w:rPr>
        <w:t xml:space="preserve">s usual treatment </w:t>
      </w:r>
      <w:r w:rsidRPr="00974CAD">
        <w:rPr>
          <w:rFonts w:cs="Arial"/>
          <w:sz w:val="20"/>
        </w:rPr>
        <w:t xml:space="preserve">we ask you to take a serum sample </w:t>
      </w:r>
      <w:r>
        <w:rPr>
          <w:rFonts w:cs="Arial"/>
          <w:sz w:val="20"/>
        </w:rPr>
        <w:t>to be saved (send to Immunology Laboratory at the Manchester Royal Infirmary</w:t>
      </w:r>
      <w:r w:rsidR="00346BCF">
        <w:rPr>
          <w:rFonts w:cs="Arial"/>
          <w:sz w:val="20"/>
        </w:rPr>
        <w:t xml:space="preserve"> – </w:t>
      </w:r>
      <w:r w:rsidR="00346BCF" w:rsidRPr="009E19C4">
        <w:rPr>
          <w:rFonts w:cs="Arial"/>
          <w:sz w:val="20"/>
        </w:rPr>
        <w:t>not required if you use Ruconest</w:t>
      </w:r>
      <w:r>
        <w:rPr>
          <w:rFonts w:cs="Arial"/>
          <w:sz w:val="20"/>
        </w:rPr>
        <w:t>)</w:t>
      </w:r>
      <w:r w:rsidRPr="00974CAD">
        <w:rPr>
          <w:rFonts w:cs="Arial"/>
          <w:sz w:val="20"/>
        </w:rPr>
        <w:t>.</w:t>
      </w:r>
    </w:p>
    <w:p w:rsidR="007341C7" w:rsidRPr="007341C7" w:rsidRDefault="007341C7" w:rsidP="007341C7">
      <w:pPr>
        <w:jc w:val="both"/>
        <w:rPr>
          <w:rFonts w:cs="Arial"/>
          <w:sz w:val="20"/>
        </w:rPr>
      </w:pPr>
    </w:p>
    <w:p w:rsidR="00876EC6" w:rsidRPr="007341C7" w:rsidRDefault="00876EC6" w:rsidP="00346BCF">
      <w:pPr>
        <w:numPr>
          <w:ilvl w:val="0"/>
          <w:numId w:val="3"/>
        </w:numPr>
        <w:jc w:val="both"/>
        <w:rPr>
          <w:rFonts w:cs="Arial"/>
          <w:sz w:val="20"/>
        </w:rPr>
      </w:pPr>
      <w:r>
        <w:rPr>
          <w:rFonts w:cs="Arial"/>
          <w:sz w:val="20"/>
        </w:rPr>
        <w:t xml:space="preserve">Berinert is supplied as either 500 unit or 1500 unit vials with its own diluent. Use the diluent provided to reconstitute, 10mls of water for injection for each 500 unit vial, 3 mls for a 1500 unit vial.  It may take longer to dissolve the 1500 unit vial. Cinryze is supplied as 500 unit vials with 5ml of water for injection. </w:t>
      </w:r>
      <w:r w:rsidR="00346BCF" w:rsidRPr="00346BCF">
        <w:rPr>
          <w:rFonts w:cs="Arial"/>
          <w:sz w:val="20"/>
        </w:rPr>
        <w:t>Ruconest is sup</w:t>
      </w:r>
      <w:r w:rsidR="00D124A4">
        <w:rPr>
          <w:rFonts w:cs="Arial"/>
          <w:sz w:val="20"/>
        </w:rPr>
        <w:t>plied as 2100 unit vials with 14</w:t>
      </w:r>
      <w:r w:rsidR="00346BCF" w:rsidRPr="00346BCF">
        <w:rPr>
          <w:rFonts w:cs="Arial"/>
          <w:sz w:val="20"/>
        </w:rPr>
        <w:t>ml solvent</w:t>
      </w:r>
      <w:r w:rsidR="00D124A4">
        <w:rPr>
          <w:rFonts w:cs="Arial"/>
          <w:sz w:val="20"/>
        </w:rPr>
        <w:t xml:space="preserve"> (water for injections to be used </w:t>
      </w:r>
      <w:r w:rsidR="00FD5ED3">
        <w:rPr>
          <w:rFonts w:cs="Arial"/>
          <w:sz w:val="20"/>
        </w:rPr>
        <w:t>if</w:t>
      </w:r>
      <w:r w:rsidR="00D124A4">
        <w:rPr>
          <w:rFonts w:cs="Arial"/>
          <w:sz w:val="20"/>
        </w:rPr>
        <w:t xml:space="preserve"> no solvent provided)</w:t>
      </w:r>
      <w:r w:rsidR="00346BCF">
        <w:rPr>
          <w:rFonts w:cs="Arial"/>
          <w:sz w:val="20"/>
        </w:rPr>
        <w:t>.</w:t>
      </w:r>
      <w:r>
        <w:rPr>
          <w:rFonts w:cs="Arial"/>
          <w:sz w:val="20"/>
        </w:rPr>
        <w:t xml:space="preserve"> All products should be administered as a slow</w:t>
      </w:r>
      <w:r w:rsidRPr="007341C7">
        <w:rPr>
          <w:rFonts w:cs="Arial"/>
          <w:sz w:val="20"/>
        </w:rPr>
        <w:t xml:space="preserve"> intravenous bolus injection over five to ten minutes.  We would recommend using a butterfly needle rather than a Venflon.  C1</w:t>
      </w:r>
      <w:r>
        <w:rPr>
          <w:rFonts w:cs="Arial"/>
          <w:sz w:val="20"/>
        </w:rPr>
        <w:t xml:space="preserve">INH </w:t>
      </w:r>
      <w:r w:rsidRPr="007341C7">
        <w:rPr>
          <w:rFonts w:cs="Arial"/>
          <w:sz w:val="20"/>
        </w:rPr>
        <w:t xml:space="preserve">can be pushed by hand and does not need to be given by a pump or syringe driver.  </w:t>
      </w:r>
    </w:p>
    <w:p w:rsidR="00BF6A99" w:rsidRDefault="00BF6A99" w:rsidP="00BF6A99">
      <w:pPr>
        <w:jc w:val="both"/>
        <w:rPr>
          <w:rFonts w:cs="Arial"/>
          <w:sz w:val="20"/>
        </w:rPr>
      </w:pPr>
    </w:p>
    <w:p w:rsidR="00BF6A99" w:rsidRDefault="004D5E27" w:rsidP="00BF6A99">
      <w:pPr>
        <w:numPr>
          <w:ilvl w:val="0"/>
          <w:numId w:val="3"/>
        </w:numPr>
        <w:jc w:val="both"/>
        <w:rPr>
          <w:rFonts w:cs="Arial"/>
          <w:sz w:val="20"/>
        </w:rPr>
      </w:pPr>
      <w:r>
        <w:rPr>
          <w:rFonts w:cs="Arial"/>
          <w:sz w:val="20"/>
        </w:rPr>
        <w:t>C1</w:t>
      </w:r>
      <w:r w:rsidR="00974CAD">
        <w:rPr>
          <w:rFonts w:cs="Arial"/>
          <w:sz w:val="20"/>
        </w:rPr>
        <w:t xml:space="preserve">INH </w:t>
      </w:r>
      <w:r w:rsidR="00BF6A99">
        <w:rPr>
          <w:rFonts w:cs="Arial"/>
          <w:sz w:val="20"/>
        </w:rPr>
        <w:t xml:space="preserve">will improve most symptoms over thirty to one hundred and twenty minutes.  </w:t>
      </w:r>
    </w:p>
    <w:p w:rsidR="00BF6A99" w:rsidRDefault="00BF6A99" w:rsidP="00BF6A99">
      <w:pPr>
        <w:jc w:val="both"/>
        <w:rPr>
          <w:rFonts w:cs="Arial"/>
          <w:sz w:val="20"/>
        </w:rPr>
      </w:pPr>
    </w:p>
    <w:p w:rsidR="00BF6A99" w:rsidRDefault="004D5E27" w:rsidP="00BF6A99">
      <w:pPr>
        <w:numPr>
          <w:ilvl w:val="0"/>
          <w:numId w:val="3"/>
        </w:numPr>
        <w:jc w:val="both"/>
        <w:rPr>
          <w:rFonts w:cs="Arial"/>
          <w:sz w:val="20"/>
        </w:rPr>
      </w:pPr>
      <w:r>
        <w:rPr>
          <w:rFonts w:cs="Arial"/>
          <w:sz w:val="20"/>
        </w:rPr>
        <w:t>C1</w:t>
      </w:r>
      <w:r w:rsidR="00974CAD">
        <w:rPr>
          <w:rFonts w:cs="Arial"/>
          <w:sz w:val="20"/>
        </w:rPr>
        <w:t xml:space="preserve">INH </w:t>
      </w:r>
      <w:r w:rsidR="00BF6A99">
        <w:rPr>
          <w:rFonts w:cs="Arial"/>
          <w:sz w:val="20"/>
        </w:rPr>
        <w:t xml:space="preserve">should also be given </w:t>
      </w:r>
      <w:r w:rsidR="00CB5F46">
        <w:rPr>
          <w:rFonts w:cs="Arial"/>
          <w:sz w:val="20"/>
        </w:rPr>
        <w:t xml:space="preserve">preventatively </w:t>
      </w:r>
      <w:r w:rsidR="00BF6A99">
        <w:rPr>
          <w:rFonts w:cs="Arial"/>
          <w:sz w:val="20"/>
        </w:rPr>
        <w:t xml:space="preserve">before </w:t>
      </w:r>
      <w:r w:rsidR="00CB5F46">
        <w:rPr>
          <w:rFonts w:cs="Arial"/>
          <w:sz w:val="20"/>
        </w:rPr>
        <w:t xml:space="preserve">any </w:t>
      </w:r>
      <w:r w:rsidR="00BF6A99">
        <w:rPr>
          <w:rFonts w:cs="Arial"/>
          <w:sz w:val="20"/>
        </w:rPr>
        <w:t>invasive</w:t>
      </w:r>
      <w:r w:rsidR="00F36A45">
        <w:rPr>
          <w:rFonts w:cs="Arial"/>
          <w:sz w:val="20"/>
        </w:rPr>
        <w:t xml:space="preserve"> (endoscopy / bronchoscopy)</w:t>
      </w:r>
      <w:r w:rsidR="00BF6A99">
        <w:rPr>
          <w:rFonts w:cs="Arial"/>
          <w:sz w:val="20"/>
        </w:rPr>
        <w:t xml:space="preserve"> </w:t>
      </w:r>
      <w:r w:rsidR="00CB5F46">
        <w:rPr>
          <w:rFonts w:cs="Arial"/>
          <w:sz w:val="20"/>
        </w:rPr>
        <w:t xml:space="preserve">or surgical </w:t>
      </w:r>
      <w:r w:rsidR="00BF6A99">
        <w:rPr>
          <w:rFonts w:cs="Arial"/>
          <w:sz w:val="20"/>
        </w:rPr>
        <w:t>procedures including dental extractions.</w:t>
      </w:r>
    </w:p>
    <w:p w:rsidR="00BF6A99" w:rsidRDefault="00BF6A99" w:rsidP="00BF6A99">
      <w:pPr>
        <w:ind w:firstLine="60"/>
        <w:jc w:val="both"/>
        <w:rPr>
          <w:rFonts w:cs="Arial"/>
          <w:sz w:val="20"/>
        </w:rPr>
      </w:pPr>
    </w:p>
    <w:p w:rsidR="00BF6A99" w:rsidRDefault="004D5E27" w:rsidP="00BF6A99">
      <w:pPr>
        <w:numPr>
          <w:ilvl w:val="0"/>
          <w:numId w:val="3"/>
        </w:numPr>
        <w:jc w:val="both"/>
        <w:rPr>
          <w:rFonts w:cs="Arial"/>
          <w:sz w:val="20"/>
        </w:rPr>
      </w:pPr>
      <w:r>
        <w:rPr>
          <w:rFonts w:cs="Arial"/>
          <w:sz w:val="20"/>
        </w:rPr>
        <w:t>C1</w:t>
      </w:r>
      <w:r w:rsidR="00974CAD">
        <w:rPr>
          <w:rFonts w:cs="Arial"/>
          <w:sz w:val="20"/>
        </w:rPr>
        <w:t xml:space="preserve">INH </w:t>
      </w:r>
      <w:r w:rsidR="00BF6A99">
        <w:rPr>
          <w:rFonts w:cs="Arial"/>
          <w:sz w:val="20"/>
        </w:rPr>
        <w:t>is licensed for the treatment of HAE.</w:t>
      </w:r>
    </w:p>
    <w:p w:rsidR="00CB5F46" w:rsidRDefault="00CB5F46" w:rsidP="00CB5F46">
      <w:pPr>
        <w:pStyle w:val="ListParagraph"/>
        <w:rPr>
          <w:rFonts w:cs="Arial"/>
          <w:sz w:val="20"/>
        </w:rPr>
      </w:pPr>
    </w:p>
    <w:p w:rsidR="00CB5F46" w:rsidRDefault="00CB5F46" w:rsidP="00974CAD">
      <w:pPr>
        <w:numPr>
          <w:ilvl w:val="0"/>
          <w:numId w:val="3"/>
        </w:numPr>
        <w:jc w:val="both"/>
        <w:rPr>
          <w:rFonts w:cs="Arial"/>
          <w:sz w:val="20"/>
        </w:rPr>
      </w:pPr>
      <w:r>
        <w:rPr>
          <w:rFonts w:cs="Arial"/>
          <w:sz w:val="20"/>
        </w:rPr>
        <w:t xml:space="preserve">Icatibant is an alternative treatment </w:t>
      </w:r>
      <w:r w:rsidR="007341C7">
        <w:rPr>
          <w:rFonts w:cs="Arial"/>
          <w:sz w:val="20"/>
        </w:rPr>
        <w:t xml:space="preserve">that is licenced for use in acute attacks of HAE and </w:t>
      </w:r>
      <w:r w:rsidR="00974CAD">
        <w:rPr>
          <w:rFonts w:cs="Arial"/>
          <w:sz w:val="20"/>
        </w:rPr>
        <w:t xml:space="preserve">30 mg </w:t>
      </w:r>
      <w:r w:rsidR="007341C7">
        <w:rPr>
          <w:rFonts w:cs="Arial"/>
          <w:sz w:val="20"/>
        </w:rPr>
        <w:t>is administered subcutaneous</w:t>
      </w:r>
      <w:r w:rsidR="00974CAD">
        <w:rPr>
          <w:rFonts w:cs="Arial"/>
          <w:sz w:val="20"/>
        </w:rPr>
        <w:t xml:space="preserve">ly </w:t>
      </w:r>
      <w:r w:rsidR="00974CAD" w:rsidRPr="00974CAD">
        <w:rPr>
          <w:rFonts w:cs="Arial"/>
          <w:sz w:val="20"/>
        </w:rPr>
        <w:t xml:space="preserve">into the abdomen, slowly over </w:t>
      </w:r>
      <w:r w:rsidR="004030E1">
        <w:rPr>
          <w:rFonts w:cs="Arial"/>
          <w:sz w:val="20"/>
        </w:rPr>
        <w:t>30 seconds or longer</w:t>
      </w:r>
      <w:r w:rsidR="00974CAD">
        <w:rPr>
          <w:rFonts w:cs="Arial"/>
          <w:sz w:val="20"/>
        </w:rPr>
        <w:t>.</w:t>
      </w:r>
    </w:p>
    <w:p w:rsidR="007341C7" w:rsidRDefault="007341C7" w:rsidP="007341C7">
      <w:pPr>
        <w:pStyle w:val="ListParagraph"/>
        <w:rPr>
          <w:rFonts w:cs="Arial"/>
          <w:sz w:val="20"/>
        </w:rPr>
      </w:pPr>
    </w:p>
    <w:p w:rsidR="007341C7" w:rsidRPr="007341C7" w:rsidRDefault="007341C7" w:rsidP="007341C7">
      <w:pPr>
        <w:numPr>
          <w:ilvl w:val="0"/>
          <w:numId w:val="3"/>
        </w:numPr>
        <w:jc w:val="both"/>
        <w:rPr>
          <w:rFonts w:cs="Arial"/>
          <w:sz w:val="20"/>
        </w:rPr>
      </w:pPr>
      <w:r>
        <w:rPr>
          <w:rFonts w:cs="Arial"/>
          <w:sz w:val="20"/>
        </w:rPr>
        <w:t>If the patient does not have their own supply of C1 esterase inhibitor or icatibant please use the most accessible product locally held in your hospita</w:t>
      </w:r>
      <w:r w:rsidR="00B90756">
        <w:rPr>
          <w:rFonts w:cs="Arial"/>
          <w:sz w:val="20"/>
        </w:rPr>
        <w:t>l. You may need to contact the P</w:t>
      </w:r>
      <w:r>
        <w:rPr>
          <w:rFonts w:cs="Arial"/>
          <w:sz w:val="20"/>
        </w:rPr>
        <w:t xml:space="preserve">harmacy </w:t>
      </w:r>
      <w:r w:rsidR="00B90756">
        <w:rPr>
          <w:rFonts w:cs="Arial"/>
          <w:sz w:val="20"/>
        </w:rPr>
        <w:t>D</w:t>
      </w:r>
      <w:r>
        <w:rPr>
          <w:rFonts w:cs="Arial"/>
          <w:sz w:val="20"/>
        </w:rPr>
        <w:t>epartment.</w:t>
      </w:r>
    </w:p>
    <w:p w:rsidR="00BF6A99" w:rsidRDefault="00BF6A99" w:rsidP="00BF6A99">
      <w:pPr>
        <w:jc w:val="both"/>
        <w:rPr>
          <w:rFonts w:cs="Arial"/>
          <w:sz w:val="20"/>
        </w:rPr>
      </w:pPr>
    </w:p>
    <w:p w:rsidR="00BF6A99" w:rsidRDefault="00BF6A99" w:rsidP="00BF6A99">
      <w:pPr>
        <w:jc w:val="both"/>
        <w:rPr>
          <w:rFonts w:cs="Arial"/>
          <w:sz w:val="20"/>
        </w:rPr>
      </w:pPr>
      <w:r>
        <w:rPr>
          <w:rFonts w:cs="Arial"/>
          <w:sz w:val="20"/>
        </w:rPr>
        <w:t>Contact numbers:</w:t>
      </w:r>
    </w:p>
    <w:p w:rsidR="00BF6A99" w:rsidRDefault="00BF6A99" w:rsidP="00BF6A99">
      <w:pPr>
        <w:jc w:val="both"/>
        <w:rPr>
          <w:rFonts w:cs="Arial"/>
          <w:sz w:val="20"/>
        </w:rPr>
      </w:pPr>
    </w:p>
    <w:p w:rsidR="00BF6A99" w:rsidRDefault="00BF6A99" w:rsidP="00BF6A99">
      <w:pPr>
        <w:jc w:val="both"/>
        <w:rPr>
          <w:rFonts w:cs="Arial"/>
          <w:sz w:val="20"/>
        </w:rPr>
      </w:pPr>
      <w:r>
        <w:rPr>
          <w:rFonts w:cs="Arial"/>
          <w:sz w:val="20"/>
        </w:rPr>
        <w:t>Office hours – 0161 276 6486</w:t>
      </w:r>
    </w:p>
    <w:p w:rsidR="00CB5F46" w:rsidRDefault="00CB5F46" w:rsidP="00BF6A99">
      <w:pPr>
        <w:jc w:val="both"/>
        <w:rPr>
          <w:rFonts w:cs="Arial"/>
          <w:sz w:val="20"/>
        </w:rPr>
      </w:pPr>
      <w:r>
        <w:rPr>
          <w:rFonts w:cs="Arial"/>
          <w:sz w:val="20"/>
        </w:rPr>
        <w:t>Out of hours via MFT switchboard – 0161 276 1234</w:t>
      </w:r>
    </w:p>
    <w:p w:rsidR="00BF6A99" w:rsidRDefault="00BF6A99" w:rsidP="00BF6A99">
      <w:pPr>
        <w:jc w:val="both"/>
        <w:rPr>
          <w:rFonts w:cs="Arial"/>
          <w:sz w:val="20"/>
        </w:rPr>
      </w:pPr>
    </w:p>
    <w:p w:rsidR="00BF6A99" w:rsidRDefault="00BF6A99" w:rsidP="00BF6A99">
      <w:pPr>
        <w:jc w:val="both"/>
        <w:rPr>
          <w:rFonts w:cs="Arial"/>
          <w:sz w:val="20"/>
        </w:rPr>
      </w:pPr>
    </w:p>
    <w:p w:rsidR="00001BB4" w:rsidRPr="00974CAD" w:rsidRDefault="00BF6A99" w:rsidP="00974CAD">
      <w:pPr>
        <w:jc w:val="both"/>
        <w:rPr>
          <w:rFonts w:cs="Arial"/>
          <w:sz w:val="20"/>
        </w:rPr>
      </w:pPr>
      <w:r>
        <w:rPr>
          <w:rFonts w:cs="Arial"/>
          <w:b/>
          <w:sz w:val="20"/>
        </w:rPr>
        <w:t xml:space="preserve">Immunology </w:t>
      </w:r>
      <w:r w:rsidR="00CB5F46">
        <w:rPr>
          <w:rFonts w:cs="Arial"/>
          <w:b/>
          <w:sz w:val="20"/>
        </w:rPr>
        <w:t>Department</w:t>
      </w:r>
    </w:p>
    <w:sectPr w:rsidR="00001BB4" w:rsidRPr="00974CAD" w:rsidSect="00382171">
      <w:headerReference w:type="default" r:id="rId7"/>
      <w:footerReference w:type="default" r:id="rId8"/>
      <w:type w:val="oddPage"/>
      <w:pgSz w:w="11906" w:h="16838"/>
      <w:pgMar w:top="1418"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259" w:rsidRDefault="008C1259">
      <w:r>
        <w:separator/>
      </w:r>
    </w:p>
  </w:endnote>
  <w:endnote w:type="continuationSeparator" w:id="0">
    <w:p w:rsidR="008C1259" w:rsidRDefault="008C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gridCol w:w="2397"/>
    </w:tblGrid>
    <w:tr w:rsidR="006C7F4D">
      <w:trPr>
        <w:jc w:val="center"/>
      </w:trPr>
      <w:tc>
        <w:tcPr>
          <w:tcW w:w="6326" w:type="dxa"/>
        </w:tcPr>
        <w:p w:rsidR="006C7F4D" w:rsidRDefault="00692235" w:rsidP="00692235">
          <w:pPr>
            <w:tabs>
              <w:tab w:val="left" w:pos="1785"/>
            </w:tabs>
            <w:jc w:val="center"/>
            <w:rPr>
              <w:i/>
              <w:iCs/>
              <w:sz w:val="20"/>
            </w:rPr>
          </w:pPr>
          <w:r>
            <w:rPr>
              <w:i/>
              <w:iCs/>
              <w:sz w:val="20"/>
            </w:rPr>
            <w:t>Hereditary and acquired angioedema treatment letter</w:t>
          </w:r>
        </w:p>
      </w:tc>
      <w:tc>
        <w:tcPr>
          <w:tcW w:w="2397" w:type="dxa"/>
        </w:tcPr>
        <w:p w:rsidR="006C7F4D" w:rsidRDefault="006C7F4D">
          <w:pPr>
            <w:jc w:val="center"/>
            <w:rPr>
              <w:i/>
              <w:iCs/>
              <w:sz w:val="20"/>
            </w:rPr>
          </w:pPr>
          <w:r>
            <w:rPr>
              <w:i/>
              <w:iCs/>
              <w:sz w:val="20"/>
            </w:rPr>
            <w:t xml:space="preserve">Page </w:t>
          </w:r>
          <w:r>
            <w:rPr>
              <w:i/>
              <w:iCs/>
              <w:sz w:val="20"/>
            </w:rPr>
            <w:fldChar w:fldCharType="begin"/>
          </w:r>
          <w:r>
            <w:rPr>
              <w:i/>
              <w:iCs/>
              <w:sz w:val="20"/>
            </w:rPr>
            <w:instrText xml:space="preserve"> PAGE </w:instrText>
          </w:r>
          <w:r>
            <w:rPr>
              <w:i/>
              <w:iCs/>
              <w:sz w:val="20"/>
            </w:rPr>
            <w:fldChar w:fldCharType="separate"/>
          </w:r>
          <w:r w:rsidR="00D56A78">
            <w:rPr>
              <w:i/>
              <w:iCs/>
              <w:noProof/>
              <w:sz w:val="20"/>
            </w:rPr>
            <w:t>1</w:t>
          </w:r>
          <w:r>
            <w:rPr>
              <w:i/>
              <w:iCs/>
              <w:sz w:val="20"/>
            </w:rPr>
            <w:fldChar w:fldCharType="end"/>
          </w:r>
          <w:r>
            <w:rPr>
              <w:i/>
              <w:iCs/>
              <w:sz w:val="20"/>
            </w:rPr>
            <w:t xml:space="preserve"> of </w:t>
          </w:r>
          <w:r>
            <w:rPr>
              <w:i/>
              <w:iCs/>
              <w:sz w:val="20"/>
            </w:rPr>
            <w:fldChar w:fldCharType="begin"/>
          </w:r>
          <w:r>
            <w:rPr>
              <w:i/>
              <w:iCs/>
              <w:sz w:val="20"/>
            </w:rPr>
            <w:instrText xml:space="preserve"> NUMPAGES </w:instrText>
          </w:r>
          <w:r>
            <w:rPr>
              <w:i/>
              <w:iCs/>
              <w:sz w:val="20"/>
            </w:rPr>
            <w:fldChar w:fldCharType="separate"/>
          </w:r>
          <w:r w:rsidR="00D56A78">
            <w:rPr>
              <w:i/>
              <w:iCs/>
              <w:noProof/>
              <w:sz w:val="20"/>
            </w:rPr>
            <w:t>1</w:t>
          </w:r>
          <w:r>
            <w:rPr>
              <w:i/>
              <w:iCs/>
              <w:sz w:val="20"/>
            </w:rPr>
            <w:fldChar w:fldCharType="end"/>
          </w:r>
        </w:p>
      </w:tc>
    </w:tr>
    <w:tr w:rsidR="006C7F4D" w:rsidTr="008E064C">
      <w:trPr>
        <w:jc w:val="center"/>
      </w:trPr>
      <w:tc>
        <w:tcPr>
          <w:tcW w:w="8723" w:type="dxa"/>
          <w:gridSpan w:val="2"/>
        </w:tcPr>
        <w:p w:rsidR="006C7F4D" w:rsidRDefault="006C7F4D" w:rsidP="00DA76BF">
          <w:pPr>
            <w:jc w:val="center"/>
            <w:rPr>
              <w:i/>
              <w:iCs/>
              <w:sz w:val="20"/>
            </w:rPr>
          </w:pPr>
        </w:p>
      </w:tc>
    </w:tr>
  </w:tbl>
  <w:p w:rsidR="006C7F4D" w:rsidRDefault="006C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259" w:rsidRDefault="008C1259">
      <w:r>
        <w:separator/>
      </w:r>
    </w:p>
  </w:footnote>
  <w:footnote w:type="continuationSeparator" w:id="0">
    <w:p w:rsidR="008C1259" w:rsidRDefault="008C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BCF" w:rsidRDefault="008C1259" w:rsidP="00346BCF">
    <w:pPr>
      <w:pStyle w:val="CompanyName"/>
      <w:framePr w:wrap="notBeside" w:hAnchor="page" w:x="2425" w:y="544" w:anchorLock="1"/>
      <w:spacing w:after="0"/>
      <w:jc w:val="right"/>
    </w:pPr>
    <w:r>
      <w:rPr>
        <w:noProof/>
      </w:rPr>
      <w:drawing>
        <wp:inline distT="0" distB="0" distL="0" distR="0" wp14:anchorId="0768846B">
          <wp:extent cx="24669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52475"/>
                  </a:xfrm>
                  <a:prstGeom prst="rect">
                    <a:avLst/>
                  </a:prstGeom>
                  <a:noFill/>
                  <a:ln>
                    <a:noFill/>
                  </a:ln>
                </pic:spPr>
              </pic:pic>
            </a:graphicData>
          </a:graphic>
        </wp:inline>
      </w:drawing>
    </w:r>
  </w:p>
  <w:p w:rsidR="006C7F4D" w:rsidRDefault="006C7F4D">
    <w:pPr>
      <w:tabs>
        <w:tab w:val="left" w:pos="-720"/>
      </w:tabs>
      <w:suppressAutoHyphens/>
      <w:jc w:val="right"/>
      <w:rPr>
        <w:spacing w:val="-3"/>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2081"/>
    <w:multiLevelType w:val="multilevel"/>
    <w:tmpl w:val="B0787A34"/>
    <w:lvl w:ilvl="0">
      <w:start w:val="4"/>
      <w:numFmt w:val="decimal"/>
      <w:pStyle w:val="Heading9"/>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252C442E"/>
    <w:multiLevelType w:val="hybridMultilevel"/>
    <w:tmpl w:val="9BB63C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0cf">
      <v:fill color="#0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D8"/>
    <w:rsid w:val="00001364"/>
    <w:rsid w:val="00001BB4"/>
    <w:rsid w:val="00003BA1"/>
    <w:rsid w:val="0000748E"/>
    <w:rsid w:val="00012F77"/>
    <w:rsid w:val="0001651B"/>
    <w:rsid w:val="00052BF8"/>
    <w:rsid w:val="00054CA1"/>
    <w:rsid w:val="00062131"/>
    <w:rsid w:val="00063CED"/>
    <w:rsid w:val="00081C82"/>
    <w:rsid w:val="00090AFE"/>
    <w:rsid w:val="000A06AA"/>
    <w:rsid w:val="000A1E30"/>
    <w:rsid w:val="000C2874"/>
    <w:rsid w:val="000C48B0"/>
    <w:rsid w:val="000E39AC"/>
    <w:rsid w:val="00100FAE"/>
    <w:rsid w:val="00114EFB"/>
    <w:rsid w:val="00115643"/>
    <w:rsid w:val="00117F87"/>
    <w:rsid w:val="00121BAB"/>
    <w:rsid w:val="00133E4A"/>
    <w:rsid w:val="00135FFC"/>
    <w:rsid w:val="00136547"/>
    <w:rsid w:val="00145EDC"/>
    <w:rsid w:val="001545C0"/>
    <w:rsid w:val="001745BF"/>
    <w:rsid w:val="00174EF2"/>
    <w:rsid w:val="001A42CA"/>
    <w:rsid w:val="001B1FB6"/>
    <w:rsid w:val="001B36C1"/>
    <w:rsid w:val="001D606D"/>
    <w:rsid w:val="00204811"/>
    <w:rsid w:val="00206BA0"/>
    <w:rsid w:val="00220AF9"/>
    <w:rsid w:val="00231E06"/>
    <w:rsid w:val="00233A55"/>
    <w:rsid w:val="0023548C"/>
    <w:rsid w:val="00246146"/>
    <w:rsid w:val="0025275D"/>
    <w:rsid w:val="00255095"/>
    <w:rsid w:val="0027712A"/>
    <w:rsid w:val="00280C39"/>
    <w:rsid w:val="00287471"/>
    <w:rsid w:val="002A3F47"/>
    <w:rsid w:val="002B006D"/>
    <w:rsid w:val="002B5335"/>
    <w:rsid w:val="002C523B"/>
    <w:rsid w:val="00300428"/>
    <w:rsid w:val="00301B8F"/>
    <w:rsid w:val="00301CFB"/>
    <w:rsid w:val="00325359"/>
    <w:rsid w:val="0033009B"/>
    <w:rsid w:val="003312D8"/>
    <w:rsid w:val="00334CDB"/>
    <w:rsid w:val="00343C64"/>
    <w:rsid w:val="00345EE8"/>
    <w:rsid w:val="00346BCF"/>
    <w:rsid w:val="00371730"/>
    <w:rsid w:val="003777B9"/>
    <w:rsid w:val="00377CD8"/>
    <w:rsid w:val="00377D01"/>
    <w:rsid w:val="003819BF"/>
    <w:rsid w:val="00382171"/>
    <w:rsid w:val="00382338"/>
    <w:rsid w:val="0039545E"/>
    <w:rsid w:val="0039764B"/>
    <w:rsid w:val="003A3865"/>
    <w:rsid w:val="003A7023"/>
    <w:rsid w:val="003B0083"/>
    <w:rsid w:val="003C22C1"/>
    <w:rsid w:val="003E4745"/>
    <w:rsid w:val="003F7BFF"/>
    <w:rsid w:val="004030E1"/>
    <w:rsid w:val="004376CE"/>
    <w:rsid w:val="004528DB"/>
    <w:rsid w:val="00454432"/>
    <w:rsid w:val="00454ECC"/>
    <w:rsid w:val="00482509"/>
    <w:rsid w:val="004851A4"/>
    <w:rsid w:val="004917C8"/>
    <w:rsid w:val="004A0789"/>
    <w:rsid w:val="004A690C"/>
    <w:rsid w:val="004B649A"/>
    <w:rsid w:val="004C3D77"/>
    <w:rsid w:val="004D5E27"/>
    <w:rsid w:val="004F62E3"/>
    <w:rsid w:val="0050157B"/>
    <w:rsid w:val="00510299"/>
    <w:rsid w:val="00511E6B"/>
    <w:rsid w:val="00542BD7"/>
    <w:rsid w:val="00567D31"/>
    <w:rsid w:val="00567E96"/>
    <w:rsid w:val="00585D97"/>
    <w:rsid w:val="005B4928"/>
    <w:rsid w:val="005B58DA"/>
    <w:rsid w:val="005C019F"/>
    <w:rsid w:val="005C05B4"/>
    <w:rsid w:val="005D08F4"/>
    <w:rsid w:val="005E6B0A"/>
    <w:rsid w:val="00601426"/>
    <w:rsid w:val="00605D49"/>
    <w:rsid w:val="00607064"/>
    <w:rsid w:val="006138BB"/>
    <w:rsid w:val="00626A59"/>
    <w:rsid w:val="00634938"/>
    <w:rsid w:val="00644AC9"/>
    <w:rsid w:val="00655CE6"/>
    <w:rsid w:val="00673BCF"/>
    <w:rsid w:val="0067652A"/>
    <w:rsid w:val="0068680A"/>
    <w:rsid w:val="00687A89"/>
    <w:rsid w:val="00692235"/>
    <w:rsid w:val="00692F99"/>
    <w:rsid w:val="006B1C3B"/>
    <w:rsid w:val="006C3101"/>
    <w:rsid w:val="006C7F4D"/>
    <w:rsid w:val="006E083B"/>
    <w:rsid w:val="006F3D19"/>
    <w:rsid w:val="0070326D"/>
    <w:rsid w:val="00704D1A"/>
    <w:rsid w:val="00712ADC"/>
    <w:rsid w:val="00724C65"/>
    <w:rsid w:val="007341C7"/>
    <w:rsid w:val="0073580A"/>
    <w:rsid w:val="0075284F"/>
    <w:rsid w:val="00753C99"/>
    <w:rsid w:val="00761B29"/>
    <w:rsid w:val="007756CB"/>
    <w:rsid w:val="007766F5"/>
    <w:rsid w:val="007779C3"/>
    <w:rsid w:val="00792175"/>
    <w:rsid w:val="00792675"/>
    <w:rsid w:val="007A2160"/>
    <w:rsid w:val="007B28B1"/>
    <w:rsid w:val="007B42C9"/>
    <w:rsid w:val="007B7747"/>
    <w:rsid w:val="007D435C"/>
    <w:rsid w:val="007E4C28"/>
    <w:rsid w:val="00817E58"/>
    <w:rsid w:val="0084710D"/>
    <w:rsid w:val="00855D1D"/>
    <w:rsid w:val="008615BB"/>
    <w:rsid w:val="00876EC6"/>
    <w:rsid w:val="00893585"/>
    <w:rsid w:val="008A6B44"/>
    <w:rsid w:val="008B7105"/>
    <w:rsid w:val="008C1259"/>
    <w:rsid w:val="008C4C2C"/>
    <w:rsid w:val="008D3D7D"/>
    <w:rsid w:val="008D5EE1"/>
    <w:rsid w:val="008E064C"/>
    <w:rsid w:val="008E2DBA"/>
    <w:rsid w:val="00903E7C"/>
    <w:rsid w:val="00903F1C"/>
    <w:rsid w:val="00946BFD"/>
    <w:rsid w:val="0096228F"/>
    <w:rsid w:val="00962DC8"/>
    <w:rsid w:val="00963231"/>
    <w:rsid w:val="00966FEC"/>
    <w:rsid w:val="00974CAD"/>
    <w:rsid w:val="00977B9B"/>
    <w:rsid w:val="009A58EF"/>
    <w:rsid w:val="009A5A27"/>
    <w:rsid w:val="009B1319"/>
    <w:rsid w:val="009B4F65"/>
    <w:rsid w:val="009C42C5"/>
    <w:rsid w:val="009E19C4"/>
    <w:rsid w:val="00A03EA7"/>
    <w:rsid w:val="00A11C78"/>
    <w:rsid w:val="00A25F9F"/>
    <w:rsid w:val="00A5599C"/>
    <w:rsid w:val="00A6219A"/>
    <w:rsid w:val="00A82570"/>
    <w:rsid w:val="00A921FC"/>
    <w:rsid w:val="00A93BBD"/>
    <w:rsid w:val="00AB1236"/>
    <w:rsid w:val="00AE1BA1"/>
    <w:rsid w:val="00AF47EE"/>
    <w:rsid w:val="00AF4E8F"/>
    <w:rsid w:val="00B13186"/>
    <w:rsid w:val="00B14797"/>
    <w:rsid w:val="00B62492"/>
    <w:rsid w:val="00B62F33"/>
    <w:rsid w:val="00B75E9C"/>
    <w:rsid w:val="00B82AAF"/>
    <w:rsid w:val="00B83BB6"/>
    <w:rsid w:val="00B8568C"/>
    <w:rsid w:val="00B9020D"/>
    <w:rsid w:val="00B90756"/>
    <w:rsid w:val="00B924D1"/>
    <w:rsid w:val="00B92BB4"/>
    <w:rsid w:val="00B97505"/>
    <w:rsid w:val="00BE231B"/>
    <w:rsid w:val="00BF6A99"/>
    <w:rsid w:val="00C068C0"/>
    <w:rsid w:val="00C6043E"/>
    <w:rsid w:val="00C65F40"/>
    <w:rsid w:val="00C67696"/>
    <w:rsid w:val="00C77AFC"/>
    <w:rsid w:val="00CA3EC0"/>
    <w:rsid w:val="00CB5F46"/>
    <w:rsid w:val="00D01C20"/>
    <w:rsid w:val="00D124A4"/>
    <w:rsid w:val="00D3132A"/>
    <w:rsid w:val="00D32146"/>
    <w:rsid w:val="00D35689"/>
    <w:rsid w:val="00D50A80"/>
    <w:rsid w:val="00D54E42"/>
    <w:rsid w:val="00D56A78"/>
    <w:rsid w:val="00D73383"/>
    <w:rsid w:val="00D80120"/>
    <w:rsid w:val="00D91C2D"/>
    <w:rsid w:val="00DA49C5"/>
    <w:rsid w:val="00DA76BF"/>
    <w:rsid w:val="00DD353A"/>
    <w:rsid w:val="00E06CD5"/>
    <w:rsid w:val="00E11887"/>
    <w:rsid w:val="00E12B5B"/>
    <w:rsid w:val="00E15CEC"/>
    <w:rsid w:val="00E4235E"/>
    <w:rsid w:val="00E43995"/>
    <w:rsid w:val="00E4797A"/>
    <w:rsid w:val="00E54A81"/>
    <w:rsid w:val="00E64C29"/>
    <w:rsid w:val="00E719AD"/>
    <w:rsid w:val="00E72E10"/>
    <w:rsid w:val="00E85AD4"/>
    <w:rsid w:val="00EA0EA6"/>
    <w:rsid w:val="00EA6DF0"/>
    <w:rsid w:val="00EB2A21"/>
    <w:rsid w:val="00EC2172"/>
    <w:rsid w:val="00EC6B4C"/>
    <w:rsid w:val="00EE2099"/>
    <w:rsid w:val="00EF5205"/>
    <w:rsid w:val="00F03EBE"/>
    <w:rsid w:val="00F075C3"/>
    <w:rsid w:val="00F1443C"/>
    <w:rsid w:val="00F33625"/>
    <w:rsid w:val="00F3413C"/>
    <w:rsid w:val="00F34827"/>
    <w:rsid w:val="00F36A45"/>
    <w:rsid w:val="00F477FD"/>
    <w:rsid w:val="00F50707"/>
    <w:rsid w:val="00F57C73"/>
    <w:rsid w:val="00F74B18"/>
    <w:rsid w:val="00F766D2"/>
    <w:rsid w:val="00F84A70"/>
    <w:rsid w:val="00F91540"/>
    <w:rsid w:val="00F96C87"/>
    <w:rsid w:val="00FB06CD"/>
    <w:rsid w:val="00FC544D"/>
    <w:rsid w:val="00FC6C9C"/>
    <w:rsid w:val="00FD5ED3"/>
    <w:rsid w:val="00FE0CEA"/>
    <w:rsid w:val="00FF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fillcolor="#0cf">
      <v:fill color="#0cf"/>
    </o:shapedefaults>
    <o:shapelayout v:ext="edit">
      <o:idmap v:ext="edit" data="1"/>
    </o:shapelayout>
  </w:shapeDefaults>
  <w:decimalSymbol w:val="."/>
  <w:listSeparator w:val=","/>
  <w14:docId w14:val="2FF30CA0"/>
  <w15:chartTrackingRefBased/>
  <w15:docId w15:val="{6834098A-043C-49C3-A911-88A7B4A4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uppressAutoHyphens/>
      <w:jc w:val="both"/>
      <w:outlineLvl w:val="0"/>
    </w:pPr>
    <w:rPr>
      <w:rFonts w:ascii="Times New Roman" w:hAnsi="Times New Roman"/>
      <w:b/>
      <w:sz w:val="28"/>
    </w:rPr>
  </w:style>
  <w:style w:type="paragraph" w:styleId="Heading2">
    <w:name w:val="heading 2"/>
    <w:basedOn w:val="Normal"/>
    <w:next w:val="Normal"/>
    <w:qFormat/>
    <w:pPr>
      <w:keepNext/>
      <w:suppressAutoHyphens/>
      <w:ind w:left="2160" w:hanging="1665"/>
      <w:outlineLvl w:val="1"/>
    </w:pPr>
    <w:rPr>
      <w:rFonts w:ascii="Times New Roman" w:hAnsi="Times New Roman"/>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8"/>
    </w:rPr>
  </w:style>
  <w:style w:type="paragraph" w:styleId="Heading9">
    <w:name w:val="heading 9"/>
    <w:basedOn w:val="Normal"/>
    <w:next w:val="Normal"/>
    <w:qFormat/>
    <w:rsid w:val="00D32146"/>
    <w:pPr>
      <w:keepNext/>
      <w:numPr>
        <w:numId w:val="2"/>
      </w:numPr>
      <w:outlineLvl w:val="8"/>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Courier New" w:hAnsi="Courier New"/>
    </w:rPr>
  </w:style>
  <w:style w:type="paragraph" w:styleId="BodyText">
    <w:name w:val="Body Text"/>
    <w:basedOn w:val="Normal"/>
    <w:pPr>
      <w:suppressAutoHyphens/>
      <w:jc w:val="both"/>
    </w:pPr>
    <w:rPr>
      <w:spacing w:val="-3"/>
      <w:sz w:val="22"/>
    </w:r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Indent2">
    <w:name w:val="Body Text Indent 2"/>
    <w:basedOn w:val="Normal"/>
    <w:pPr>
      <w:ind w:left="720" w:hanging="720"/>
      <w:jc w:val="both"/>
    </w:pPr>
    <w:rPr>
      <w:sz w:val="22"/>
    </w:rPr>
  </w:style>
  <w:style w:type="paragraph" w:styleId="BodyText2">
    <w:name w:val="Body Text 2"/>
    <w:basedOn w:val="Normal"/>
    <w:link w:val="BodyText2Char"/>
    <w:pPr>
      <w:suppressAutoHyphens/>
    </w:pPr>
    <w:rPr>
      <w:sz w:val="22"/>
      <w:lang w:val="x-non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rPr>
      <w:lang w:val="x-none"/>
    </w:rPr>
  </w:style>
  <w:style w:type="paragraph" w:styleId="BodyTextIndent3">
    <w:name w:val="Body Text Indent 3"/>
    <w:basedOn w:val="Normal"/>
    <w:pPr>
      <w:suppressAutoHyphens/>
      <w:ind w:left="720" w:hanging="720"/>
      <w:jc w:val="both"/>
    </w:pPr>
    <w:rPr>
      <w:spacing w:val="-3"/>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0"/>
    </w:rPr>
  </w:style>
  <w:style w:type="paragraph" w:styleId="BalloonText">
    <w:name w:val="Balloon Text"/>
    <w:basedOn w:val="Normal"/>
    <w:semiHidden/>
    <w:rPr>
      <w:rFonts w:ascii="Tahoma" w:hAnsi="Tahoma" w:cs="Tahoma"/>
      <w:sz w:val="16"/>
      <w:szCs w:val="16"/>
    </w:rPr>
  </w:style>
  <w:style w:type="character" w:customStyle="1" w:styleId="BodyTextIndent2Char">
    <w:name w:val="Body Text Indent 2 Char"/>
    <w:rPr>
      <w:rFonts w:ascii="Arial" w:hAnsi="Arial"/>
      <w:sz w:val="22"/>
      <w:lang w:val="en-GB" w:eastAsia="en-US" w:bidi="ar-SA"/>
    </w:rPr>
  </w:style>
  <w:style w:type="character" w:styleId="FollowedHyperlink">
    <w:name w:val="FollowedHyperlink"/>
    <w:rPr>
      <w:color w:val="800080"/>
      <w:u w:val="single"/>
    </w:rPr>
  </w:style>
  <w:style w:type="paragraph" w:customStyle="1" w:styleId="Bullet">
    <w:name w:val="Bullet"/>
    <w:basedOn w:val="Normal"/>
    <w:pPr>
      <w:numPr>
        <w:numId w:val="1"/>
      </w:numPr>
    </w:pPr>
    <w:rPr>
      <w:rFonts w:ascii="Times New Roman" w:hAnsi="Times New Roman"/>
      <w:szCs w:val="24"/>
      <w:lang w:eastAsia="en-GB"/>
    </w:rPr>
  </w:style>
  <w:style w:type="paragraph" w:styleId="BodyText3">
    <w:name w:val="Body Text 3"/>
    <w:basedOn w:val="Normal"/>
    <w:rPr>
      <w:b/>
    </w:rPr>
  </w:style>
  <w:style w:type="character" w:styleId="CommentReference">
    <w:name w:val="annotation reference"/>
    <w:semiHidden/>
    <w:rsid w:val="00FF6CAA"/>
    <w:rPr>
      <w:sz w:val="16"/>
      <w:szCs w:val="16"/>
    </w:rPr>
  </w:style>
  <w:style w:type="paragraph" w:styleId="CommentText">
    <w:name w:val="annotation text"/>
    <w:basedOn w:val="Normal"/>
    <w:semiHidden/>
    <w:rsid w:val="00FF6CAA"/>
    <w:rPr>
      <w:sz w:val="20"/>
    </w:rPr>
  </w:style>
  <w:style w:type="paragraph" w:styleId="CommentSubject">
    <w:name w:val="annotation subject"/>
    <w:basedOn w:val="CommentText"/>
    <w:next w:val="CommentText"/>
    <w:semiHidden/>
    <w:rsid w:val="00FF6CAA"/>
    <w:rPr>
      <w:b/>
      <w:bCs/>
    </w:rPr>
  </w:style>
  <w:style w:type="paragraph" w:styleId="ListParagraph">
    <w:name w:val="List Paragraph"/>
    <w:basedOn w:val="Normal"/>
    <w:uiPriority w:val="34"/>
    <w:qFormat/>
    <w:rsid w:val="005C05B4"/>
    <w:pPr>
      <w:ind w:left="720"/>
    </w:pPr>
    <w:rPr>
      <w:rFonts w:ascii="Calibri" w:eastAsia="Calibri" w:hAnsi="Calibri"/>
      <w:sz w:val="22"/>
      <w:szCs w:val="22"/>
      <w:lang w:eastAsia="en-GB"/>
    </w:rPr>
  </w:style>
  <w:style w:type="character" w:customStyle="1" w:styleId="HeaderChar">
    <w:name w:val="Header Char"/>
    <w:link w:val="Header"/>
    <w:rsid w:val="00567D31"/>
    <w:rPr>
      <w:rFonts w:ascii="Arial" w:hAnsi="Arial"/>
      <w:sz w:val="24"/>
      <w:lang w:eastAsia="en-US"/>
    </w:rPr>
  </w:style>
  <w:style w:type="character" w:customStyle="1" w:styleId="BodyText2Char">
    <w:name w:val="Body Text 2 Char"/>
    <w:link w:val="BodyText2"/>
    <w:rsid w:val="00567D31"/>
    <w:rPr>
      <w:rFonts w:ascii="Arial" w:hAnsi="Arial"/>
      <w:sz w:val="22"/>
      <w:lang w:eastAsia="en-US"/>
    </w:rPr>
  </w:style>
  <w:style w:type="paragraph" w:customStyle="1" w:styleId="SOPNormaltext">
    <w:name w:val="SOP Normal text"/>
    <w:basedOn w:val="Normal"/>
    <w:autoRedefine/>
    <w:rsid w:val="006C7F4D"/>
    <w:rPr>
      <w:rFonts w:cs="Arial"/>
      <w:sz w:val="20"/>
    </w:rPr>
  </w:style>
  <w:style w:type="paragraph" w:customStyle="1" w:styleId="SOPHeading1">
    <w:name w:val="SOP Heading 1"/>
    <w:basedOn w:val="Heading1"/>
    <w:next w:val="Normal"/>
    <w:autoRedefine/>
    <w:rsid w:val="00567D31"/>
    <w:pPr>
      <w:pBdr>
        <w:top w:val="single" w:sz="4" w:space="1" w:color="auto"/>
      </w:pBdr>
      <w:suppressAutoHyphens w:val="0"/>
    </w:pPr>
    <w:rPr>
      <w:rFonts w:ascii="Arial" w:hAnsi="Arial"/>
      <w:sz w:val="20"/>
    </w:rPr>
  </w:style>
  <w:style w:type="paragraph" w:customStyle="1" w:styleId="CompanyName">
    <w:name w:val="Company Name"/>
    <w:basedOn w:val="BodyText"/>
    <w:next w:val="Date"/>
    <w:rsid w:val="00345EE8"/>
    <w:pPr>
      <w:keepLines/>
      <w:framePr w:w="8640" w:h="1440" w:wrap="notBeside" w:vAnchor="page" w:hAnchor="margin" w:xAlign="center" w:y="889"/>
      <w:suppressAutoHyphens w:val="0"/>
      <w:spacing w:after="40" w:line="240" w:lineRule="atLeast"/>
      <w:jc w:val="center"/>
    </w:pPr>
    <w:rPr>
      <w:rFonts w:ascii="Garamond" w:hAnsi="Garamond"/>
      <w:caps/>
      <w:spacing w:val="75"/>
      <w:kern w:val="18"/>
      <w:sz w:val="21"/>
    </w:rPr>
  </w:style>
  <w:style w:type="paragraph" w:styleId="Date">
    <w:name w:val="Date"/>
    <w:basedOn w:val="Normal"/>
    <w:next w:val="Normal"/>
    <w:rsid w:val="0034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730">
      <w:bodyDiv w:val="1"/>
      <w:marLeft w:val="0"/>
      <w:marRight w:val="0"/>
      <w:marTop w:val="0"/>
      <w:marBottom w:val="0"/>
      <w:divBdr>
        <w:top w:val="none" w:sz="0" w:space="0" w:color="auto"/>
        <w:left w:val="none" w:sz="0" w:space="0" w:color="auto"/>
        <w:bottom w:val="none" w:sz="0" w:space="0" w:color="auto"/>
        <w:right w:val="none" w:sz="0" w:space="0" w:color="auto"/>
      </w:divBdr>
    </w:div>
    <w:div w:id="110787555">
      <w:bodyDiv w:val="1"/>
      <w:marLeft w:val="0"/>
      <w:marRight w:val="0"/>
      <w:marTop w:val="0"/>
      <w:marBottom w:val="0"/>
      <w:divBdr>
        <w:top w:val="none" w:sz="0" w:space="0" w:color="auto"/>
        <w:left w:val="none" w:sz="0" w:space="0" w:color="auto"/>
        <w:bottom w:val="none" w:sz="0" w:space="0" w:color="auto"/>
        <w:right w:val="none" w:sz="0" w:space="0" w:color="auto"/>
      </w:divBdr>
    </w:div>
    <w:div w:id="1245186650">
      <w:bodyDiv w:val="1"/>
      <w:marLeft w:val="0"/>
      <w:marRight w:val="0"/>
      <w:marTop w:val="0"/>
      <w:marBottom w:val="0"/>
      <w:divBdr>
        <w:top w:val="none" w:sz="0" w:space="0" w:color="auto"/>
        <w:left w:val="none" w:sz="0" w:space="0" w:color="auto"/>
        <w:bottom w:val="none" w:sz="0" w:space="0" w:color="auto"/>
        <w:right w:val="none" w:sz="0" w:space="0" w:color="auto"/>
      </w:divBdr>
    </w:div>
    <w:div w:id="1885825478">
      <w:bodyDiv w:val="1"/>
      <w:marLeft w:val="0"/>
      <w:marRight w:val="0"/>
      <w:marTop w:val="0"/>
      <w:marBottom w:val="0"/>
      <w:divBdr>
        <w:top w:val="none" w:sz="0" w:space="0" w:color="auto"/>
        <w:left w:val="none" w:sz="0" w:space="0" w:color="auto"/>
        <w:bottom w:val="none" w:sz="0" w:space="0" w:color="auto"/>
        <w:right w:val="none" w:sz="0" w:space="0" w:color="auto"/>
      </w:divBdr>
    </w:div>
    <w:div w:id="1919897681">
      <w:bodyDiv w:val="1"/>
      <w:marLeft w:val="0"/>
      <w:marRight w:val="0"/>
      <w:marTop w:val="0"/>
      <w:marBottom w:val="0"/>
      <w:divBdr>
        <w:top w:val="none" w:sz="0" w:space="0" w:color="auto"/>
        <w:left w:val="none" w:sz="0" w:space="0" w:color="auto"/>
        <w:bottom w:val="none" w:sz="0" w:space="0" w:color="auto"/>
        <w:right w:val="none" w:sz="0" w:space="0" w:color="auto"/>
      </w:divBdr>
    </w:div>
    <w:div w:id="2011252199">
      <w:bodyDiv w:val="1"/>
      <w:marLeft w:val="0"/>
      <w:marRight w:val="0"/>
      <w:marTop w:val="0"/>
      <w:marBottom w:val="0"/>
      <w:divBdr>
        <w:top w:val="none" w:sz="0" w:space="0" w:color="auto"/>
        <w:left w:val="none" w:sz="0" w:space="0" w:color="auto"/>
        <w:bottom w:val="none" w:sz="0" w:space="0" w:color="auto"/>
        <w:right w:val="none" w:sz="0" w:space="0" w:color="auto"/>
      </w:divBdr>
    </w:div>
    <w:div w:id="20450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MM\DOCS\Information%20sheets\New\PID\UK-PIN%20Accred\Template\Old\20130724%20NW%20UK-PIN%20Document%20Template%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20130724 NW UK-PIN Document Template v1</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Fat Boy Productions Inc.</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Any authorised employee</dc:creator>
  <cp:keywords/>
  <cp:lastModifiedBy>Tomaz Garcez</cp:lastModifiedBy>
  <cp:revision>1</cp:revision>
  <cp:lastPrinted>2019-12-10T11:00:00Z</cp:lastPrinted>
  <dcterms:created xsi:type="dcterms:W3CDTF">2023-01-04T15:37:00Z</dcterms:created>
  <dcterms:modified xsi:type="dcterms:W3CDTF">2023-01-04T15:37:00Z</dcterms:modified>
</cp:coreProperties>
</file>