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C002" w14:textId="77777777" w:rsidR="00A43075" w:rsidRPr="008703D0" w:rsidRDefault="00F13092" w:rsidP="004634FA">
      <w:pPr>
        <w:jc w:val="center"/>
        <w:rPr>
          <w:b/>
          <w:sz w:val="28"/>
          <w:szCs w:val="28"/>
        </w:rPr>
      </w:pPr>
      <w:r w:rsidRPr="008703D0">
        <w:rPr>
          <w:b/>
          <w:sz w:val="28"/>
          <w:szCs w:val="28"/>
        </w:rPr>
        <w:t>Information</w:t>
      </w:r>
      <w:r w:rsidR="004634FA" w:rsidRPr="008703D0">
        <w:rPr>
          <w:b/>
          <w:sz w:val="28"/>
          <w:szCs w:val="28"/>
        </w:rPr>
        <w:t xml:space="preserve"> Leaflet</w:t>
      </w:r>
      <w:r w:rsidRPr="008703D0">
        <w:rPr>
          <w:b/>
          <w:sz w:val="28"/>
          <w:szCs w:val="28"/>
        </w:rPr>
        <w:t xml:space="preserve"> </w:t>
      </w:r>
    </w:p>
    <w:p w14:paraId="30D36D80" w14:textId="485B2831" w:rsidR="002B4E85" w:rsidRPr="008703D0" w:rsidRDefault="004634FA" w:rsidP="004634FA">
      <w:pPr>
        <w:jc w:val="center"/>
        <w:rPr>
          <w:b/>
          <w:sz w:val="28"/>
          <w:szCs w:val="28"/>
        </w:rPr>
      </w:pPr>
      <w:r w:rsidRPr="008703D0">
        <w:rPr>
          <w:b/>
          <w:sz w:val="28"/>
          <w:szCs w:val="28"/>
        </w:rPr>
        <w:t>Ha</w:t>
      </w:r>
      <w:r w:rsidR="00F13092" w:rsidRPr="008703D0">
        <w:rPr>
          <w:b/>
          <w:sz w:val="28"/>
          <w:szCs w:val="28"/>
        </w:rPr>
        <w:t xml:space="preserve">emoglobinopathy </w:t>
      </w:r>
      <w:r w:rsidR="00973A08" w:rsidRPr="008703D0">
        <w:rPr>
          <w:b/>
          <w:sz w:val="28"/>
          <w:szCs w:val="28"/>
        </w:rPr>
        <w:t>C</w:t>
      </w:r>
      <w:r w:rsidR="00F13092" w:rsidRPr="008703D0">
        <w:rPr>
          <w:b/>
          <w:sz w:val="28"/>
          <w:szCs w:val="28"/>
        </w:rPr>
        <w:t xml:space="preserve">arrier </w:t>
      </w:r>
      <w:r w:rsidR="00973A08" w:rsidRPr="008703D0">
        <w:rPr>
          <w:b/>
          <w:sz w:val="28"/>
          <w:szCs w:val="28"/>
        </w:rPr>
        <w:t>S</w:t>
      </w:r>
      <w:r w:rsidR="00DE08FA" w:rsidRPr="008703D0">
        <w:rPr>
          <w:b/>
          <w:sz w:val="28"/>
          <w:szCs w:val="28"/>
        </w:rPr>
        <w:t>tates</w:t>
      </w:r>
      <w:r w:rsidR="00973A08" w:rsidRPr="008703D0">
        <w:rPr>
          <w:b/>
          <w:sz w:val="28"/>
          <w:szCs w:val="28"/>
        </w:rPr>
        <w:t xml:space="preserve"> (Genetics)</w:t>
      </w:r>
      <w:r w:rsidR="00DE08FA" w:rsidRPr="008703D0">
        <w:rPr>
          <w:b/>
          <w:sz w:val="28"/>
          <w:szCs w:val="28"/>
        </w:rPr>
        <w:t xml:space="preserve"> for Health Professionals</w:t>
      </w:r>
    </w:p>
    <w:p w14:paraId="742CAF11" w14:textId="31FE0208" w:rsidR="002C58E7" w:rsidRDefault="002C58E7" w:rsidP="00BD61C0">
      <w:pPr>
        <w:pStyle w:val="PlainText"/>
        <w:pBdr>
          <w:top w:val="single" w:sz="4" w:space="1" w:color="auto"/>
          <w:left w:val="single" w:sz="4" w:space="4" w:color="auto"/>
          <w:bottom w:val="single" w:sz="4" w:space="1" w:color="auto"/>
          <w:right w:val="single" w:sz="4" w:space="4" w:color="auto"/>
        </w:pBdr>
        <w:rPr>
          <w:b/>
        </w:rPr>
      </w:pPr>
      <w:r w:rsidRPr="002C58E7">
        <w:rPr>
          <w:b/>
        </w:rPr>
        <w:t>Key Points</w:t>
      </w:r>
    </w:p>
    <w:p w14:paraId="71451EB3" w14:textId="77777777" w:rsidR="002C58E7" w:rsidRDefault="002C58E7" w:rsidP="00BD61C0">
      <w:pPr>
        <w:pStyle w:val="PlainText"/>
        <w:numPr>
          <w:ilvl w:val="0"/>
          <w:numId w:val="6"/>
        </w:numPr>
        <w:pBdr>
          <w:top w:val="single" w:sz="4" w:space="1" w:color="auto"/>
          <w:left w:val="single" w:sz="4" w:space="4" w:color="auto"/>
          <w:bottom w:val="single" w:sz="4" w:space="1" w:color="auto"/>
          <w:right w:val="single" w:sz="4" w:space="4" w:color="auto"/>
        </w:pBdr>
      </w:pPr>
      <w:r>
        <w:t>Carriers for haemoglobinopathy do NOT usually require haematological referral or follow-up</w:t>
      </w:r>
    </w:p>
    <w:p w14:paraId="03B7BF3A" w14:textId="77777777" w:rsidR="002C58E7" w:rsidRDefault="002C58E7" w:rsidP="00BD61C0">
      <w:pPr>
        <w:pStyle w:val="PlainText"/>
        <w:numPr>
          <w:ilvl w:val="0"/>
          <w:numId w:val="6"/>
        </w:numPr>
        <w:pBdr>
          <w:top w:val="single" w:sz="4" w:space="1" w:color="auto"/>
          <w:left w:val="single" w:sz="4" w:space="4" w:color="auto"/>
          <w:bottom w:val="single" w:sz="4" w:space="1" w:color="auto"/>
          <w:right w:val="single" w:sz="4" w:space="4" w:color="auto"/>
        </w:pBdr>
      </w:pPr>
      <w:r>
        <w:t>Refer if anaemia &gt; 20g/l below normal range or splenomegaly or symptoms</w:t>
      </w:r>
      <w:r w:rsidR="00BD61C0">
        <w:t xml:space="preserve"> and iron deficiency excluded</w:t>
      </w:r>
    </w:p>
    <w:p w14:paraId="3B2FD3D6" w14:textId="77777777" w:rsidR="002C58E7" w:rsidRDefault="002C58E7" w:rsidP="00BD61C0">
      <w:pPr>
        <w:pStyle w:val="PlainText"/>
        <w:numPr>
          <w:ilvl w:val="0"/>
          <w:numId w:val="6"/>
        </w:numPr>
        <w:pBdr>
          <w:top w:val="single" w:sz="4" w:space="1" w:color="auto"/>
          <w:left w:val="single" w:sz="4" w:space="4" w:color="auto"/>
          <w:bottom w:val="single" w:sz="4" w:space="1" w:color="auto"/>
          <w:right w:val="single" w:sz="4" w:space="4" w:color="auto"/>
        </w:pBdr>
      </w:pPr>
      <w:r>
        <w:t xml:space="preserve">Blood counts for an individual tend to remain stable </w:t>
      </w:r>
      <w:r w:rsidR="00BD61C0">
        <w:t>in</w:t>
      </w:r>
      <w:r>
        <w:t xml:space="preserve"> adult</w:t>
      </w:r>
      <w:r w:rsidR="00BD61C0">
        <w:t>s</w:t>
      </w:r>
      <w:r>
        <w:t xml:space="preserve"> so investigate if Hb drops</w:t>
      </w:r>
      <w:r w:rsidR="00BD61C0">
        <w:t xml:space="preserve"> from usual steady date</w:t>
      </w:r>
    </w:p>
    <w:p w14:paraId="34DE8253" w14:textId="77777777" w:rsidR="002C58E7" w:rsidRDefault="00BD61C0" w:rsidP="00BD61C0">
      <w:pPr>
        <w:pStyle w:val="PlainText"/>
        <w:numPr>
          <w:ilvl w:val="0"/>
          <w:numId w:val="6"/>
        </w:numPr>
        <w:pBdr>
          <w:top w:val="single" w:sz="4" w:space="1" w:color="auto"/>
          <w:left w:val="single" w:sz="4" w:space="4" w:color="auto"/>
          <w:bottom w:val="single" w:sz="4" w:space="1" w:color="auto"/>
          <w:right w:val="single" w:sz="4" w:space="4" w:color="auto"/>
        </w:pBdr>
      </w:pPr>
      <w:r>
        <w:t>Consider if</w:t>
      </w:r>
      <w:r w:rsidR="002C58E7">
        <w:t xml:space="preserve"> genetic counselling information</w:t>
      </w:r>
      <w:r>
        <w:t xml:space="preserve"> is needed</w:t>
      </w:r>
      <w:r w:rsidR="002C58E7">
        <w:t xml:space="preserve"> </w:t>
      </w:r>
    </w:p>
    <w:p w14:paraId="573A6BDD" w14:textId="77777777" w:rsidR="002C58E7" w:rsidRPr="002C58E7" w:rsidRDefault="002C58E7" w:rsidP="002C58E7">
      <w:pPr>
        <w:pStyle w:val="PlainText"/>
        <w:numPr>
          <w:ilvl w:val="0"/>
          <w:numId w:val="6"/>
        </w:numPr>
        <w:pBdr>
          <w:top w:val="single" w:sz="4" w:space="1" w:color="auto"/>
          <w:left w:val="single" w:sz="4" w:space="4" w:color="auto"/>
          <w:bottom w:val="single" w:sz="4" w:space="1" w:color="auto"/>
          <w:right w:val="single" w:sz="4" w:space="4" w:color="auto"/>
        </w:pBdr>
      </w:pPr>
      <w:r>
        <w:t>Further advice</w:t>
      </w:r>
      <w:r w:rsidR="00BD61C0">
        <w:t xml:space="preserve"> and patient information</w:t>
      </w:r>
      <w:r>
        <w:t xml:space="preserve"> can be obtained from the Manchester Sickle Cell and Thalassaemia Centre - 0161 279 3322</w:t>
      </w:r>
    </w:p>
    <w:p w14:paraId="3E5FB6AE" w14:textId="77777777" w:rsidR="008703D0" w:rsidRDefault="008703D0" w:rsidP="002C58E7">
      <w:pPr>
        <w:rPr>
          <w:b/>
          <w:u w:val="single"/>
        </w:rPr>
      </w:pPr>
    </w:p>
    <w:p w14:paraId="7748E296" w14:textId="4AE13FF7" w:rsidR="002C58E7" w:rsidRPr="00AC5FF8" w:rsidRDefault="002C58E7" w:rsidP="002C58E7">
      <w:pPr>
        <w:rPr>
          <w:b/>
          <w:u w:val="single"/>
        </w:rPr>
      </w:pPr>
      <w:r w:rsidRPr="00AC5FF8">
        <w:rPr>
          <w:b/>
          <w:u w:val="single"/>
        </w:rPr>
        <w:t>General Information</w:t>
      </w:r>
    </w:p>
    <w:p w14:paraId="42298483" w14:textId="77777777" w:rsidR="002C58E7" w:rsidRPr="00F13092" w:rsidRDefault="002C58E7" w:rsidP="008703D0">
      <w:pPr>
        <w:jc w:val="both"/>
      </w:pPr>
      <w:r w:rsidRPr="00F13092">
        <w:t xml:space="preserve">Inherited disorders of haemoglobin (haemoglobinopathy) </w:t>
      </w:r>
      <w:r>
        <w:t xml:space="preserve">may be detected on routine screening or </w:t>
      </w:r>
      <w:proofErr w:type="gramStart"/>
      <w:r>
        <w:t>in the course of</w:t>
      </w:r>
      <w:proofErr w:type="gramEnd"/>
      <w:r>
        <w:t xml:space="preserve"> hospital </w:t>
      </w:r>
      <w:r w:rsidR="00F90A70">
        <w:t>investigation</w:t>
      </w:r>
      <w:r>
        <w:t xml:space="preserve">. They </w:t>
      </w:r>
      <w:r w:rsidRPr="00F13092">
        <w:t>should</w:t>
      </w:r>
      <w:r>
        <w:t xml:space="preserve"> also</w:t>
      </w:r>
      <w:r w:rsidRPr="00F13092">
        <w:t xml:space="preserve"> be considered in all individuals with microcytic anaemia, particularly if there is no evidence of iron deficiency or red cell changes persist af</w:t>
      </w:r>
      <w:r>
        <w:t xml:space="preserve">ter adequate iron replacement. </w:t>
      </w:r>
      <w:r w:rsidRPr="00F13092">
        <w:t xml:space="preserve"> Although these conditions are more frequently ass</w:t>
      </w:r>
      <w:r>
        <w:t>ociated with individuals of non-</w:t>
      </w:r>
      <w:r w:rsidRPr="00F13092">
        <w:t>northern European origin, they may be found in all ethnic groups</w:t>
      </w:r>
      <w:r w:rsidRPr="00F13092">
        <w:rPr>
          <w:lang w:val="en-US"/>
        </w:rPr>
        <w:t xml:space="preserve">. </w:t>
      </w:r>
    </w:p>
    <w:p w14:paraId="4DCD5E58" w14:textId="2ACDEFF1" w:rsidR="00F13092" w:rsidRPr="00F13092" w:rsidRDefault="00F13092" w:rsidP="008703D0">
      <w:pPr>
        <w:jc w:val="both"/>
      </w:pPr>
      <w:r w:rsidRPr="00F13092">
        <w:rPr>
          <w:lang w:val="en-US"/>
        </w:rPr>
        <w:t xml:space="preserve">It is important to recognize carrier states for these haemoglobinopathies as they do not require iron </w:t>
      </w:r>
      <w:proofErr w:type="gramStart"/>
      <w:r w:rsidRPr="00F13092">
        <w:rPr>
          <w:lang w:val="en-US"/>
        </w:rPr>
        <w:t>treatment</w:t>
      </w:r>
      <w:proofErr w:type="gramEnd"/>
      <w:r w:rsidRPr="00F13092">
        <w:rPr>
          <w:lang w:val="en-US"/>
        </w:rPr>
        <w:t xml:space="preserve"> </w:t>
      </w:r>
      <w:r w:rsidR="00F90A70">
        <w:rPr>
          <w:lang w:val="en-US"/>
        </w:rPr>
        <w:t>but</w:t>
      </w:r>
      <w:r w:rsidRPr="00F13092">
        <w:rPr>
          <w:lang w:val="en-US"/>
        </w:rPr>
        <w:t xml:space="preserve"> the information may be important for genetic counseling for themselves</w:t>
      </w:r>
      <w:r w:rsidR="00F90A70">
        <w:rPr>
          <w:lang w:val="en-US"/>
        </w:rPr>
        <w:t>, their partners (if planning pregnancy)</w:t>
      </w:r>
      <w:r w:rsidRPr="00F13092">
        <w:rPr>
          <w:lang w:val="en-US"/>
        </w:rPr>
        <w:t xml:space="preserve"> or other members of their family. Women who have had pregnancies in recent years or partners of women with significant carrier states may have been screened as part of the national antenatal screening programme and may be aware of their haemoglobinopathy results. It is also useful to </w:t>
      </w:r>
      <w:r w:rsidR="008703D0" w:rsidRPr="00F13092">
        <w:rPr>
          <w:lang w:val="en-US"/>
        </w:rPr>
        <w:t>refer</w:t>
      </w:r>
      <w:r w:rsidRPr="00F13092">
        <w:rPr>
          <w:lang w:val="en-US"/>
        </w:rPr>
        <w:t xml:space="preserve"> to historical results, for Hb, MCV and MCH, if available, as these remain relatively constant throughout adult life for a given individual; any significant deviation indicates an additional cause for </w:t>
      </w:r>
      <w:proofErr w:type="spellStart"/>
      <w:r w:rsidRPr="00F13092">
        <w:rPr>
          <w:lang w:val="en-US"/>
        </w:rPr>
        <w:t>anaemia</w:t>
      </w:r>
      <w:proofErr w:type="spellEnd"/>
      <w:r w:rsidR="00F90A70">
        <w:rPr>
          <w:lang w:val="en-US"/>
        </w:rPr>
        <w:t xml:space="preserve"> such as iron deficiency</w:t>
      </w:r>
      <w:r w:rsidRPr="00F13092">
        <w:rPr>
          <w:lang w:val="en-US"/>
        </w:rPr>
        <w:t>.</w:t>
      </w:r>
    </w:p>
    <w:p w14:paraId="5AA93E1E" w14:textId="6EDA5F7B" w:rsidR="00F13092" w:rsidRDefault="00F13092" w:rsidP="008703D0">
      <w:pPr>
        <w:jc w:val="both"/>
        <w:rPr>
          <w:lang w:val="en-US"/>
        </w:rPr>
      </w:pPr>
      <w:r w:rsidRPr="00F13092">
        <w:rPr>
          <w:lang w:val="en-US"/>
        </w:rPr>
        <w:t>Further information for health professionals and information for carriers may be found on the following websites and these contain useful genetic counselling information for</w:t>
      </w:r>
      <w:r w:rsidR="00BD61C0">
        <w:rPr>
          <w:lang w:val="en-US"/>
        </w:rPr>
        <w:t xml:space="preserve"> those contemplating pregnancy.</w:t>
      </w:r>
    </w:p>
    <w:p w14:paraId="412695F7" w14:textId="77777777" w:rsidR="00934DD0" w:rsidRDefault="0005203D" w:rsidP="008703D0">
      <w:pPr>
        <w:pStyle w:val="ListParagraph"/>
        <w:numPr>
          <w:ilvl w:val="0"/>
          <w:numId w:val="9"/>
        </w:numPr>
        <w:rPr>
          <w:rStyle w:val="Hyperlink"/>
        </w:rPr>
      </w:pPr>
      <w:hyperlink r:id="rId7" w:history="1">
        <w:r w:rsidR="00934DD0" w:rsidRPr="0046158F">
          <w:rPr>
            <w:rStyle w:val="Hyperlink"/>
          </w:rPr>
          <w:t>https://www.gov.uk/guidance/sickle-cell-and-thalassaemia-screening-programme-overview</w:t>
        </w:r>
      </w:hyperlink>
    </w:p>
    <w:p w14:paraId="37B102FB" w14:textId="77777777" w:rsidR="00934DD0" w:rsidRDefault="0005203D" w:rsidP="008703D0">
      <w:pPr>
        <w:pStyle w:val="ListParagraph"/>
        <w:numPr>
          <w:ilvl w:val="0"/>
          <w:numId w:val="9"/>
        </w:numPr>
      </w:pPr>
      <w:hyperlink r:id="rId8" w:history="1">
        <w:r w:rsidR="00934DD0" w:rsidRPr="00035DFA">
          <w:rPr>
            <w:rStyle w:val="Hyperlink"/>
          </w:rPr>
          <w:t>https://phescreening.blog.gov.uk/2020/02/19/sct-genetic-counselling/</w:t>
        </w:r>
      </w:hyperlink>
      <w:r w:rsidR="00934DD0">
        <w:t xml:space="preserve"> </w:t>
      </w:r>
    </w:p>
    <w:p w14:paraId="3CBC141B" w14:textId="6047DD47" w:rsidR="008703D0" w:rsidRPr="008703D0" w:rsidRDefault="0005203D" w:rsidP="00E0521E">
      <w:pPr>
        <w:pStyle w:val="ListParagraph"/>
        <w:numPr>
          <w:ilvl w:val="0"/>
          <w:numId w:val="9"/>
        </w:numPr>
        <w:rPr>
          <w:color w:val="0000FF" w:themeColor="hyperlink"/>
          <w:u w:val="single"/>
        </w:rPr>
      </w:pPr>
      <w:hyperlink r:id="rId9" w:history="1">
        <w:r w:rsidR="00934DD0" w:rsidRPr="00035DFA">
          <w:rPr>
            <w:rStyle w:val="Hyperlink"/>
          </w:rPr>
          <w:t>https://www.gov.uk/government/publications/handbook-for-sickle-cell-and-thalassaemia-screening/prenatal-diagnosis-guidelines</w:t>
        </w:r>
      </w:hyperlink>
      <w:r w:rsidR="00934DD0">
        <w:t xml:space="preserve"> </w:t>
      </w:r>
    </w:p>
    <w:p w14:paraId="690BBE70" w14:textId="4000C6EF" w:rsidR="00934DD0" w:rsidRDefault="008703D0" w:rsidP="00E0521E">
      <w:pPr>
        <w:pStyle w:val="ListParagraph"/>
        <w:numPr>
          <w:ilvl w:val="0"/>
          <w:numId w:val="9"/>
        </w:numPr>
        <w:rPr>
          <w:rStyle w:val="Hyperlink"/>
        </w:rPr>
      </w:pPr>
      <w:r w:rsidRPr="008703D0">
        <w:rPr>
          <w:b/>
          <w:bCs/>
          <w:noProof/>
          <w:sz w:val="24"/>
          <w:szCs w:val="24"/>
          <w:lang w:val="en-US"/>
        </w:rPr>
        <mc:AlternateContent>
          <mc:Choice Requires="wps">
            <w:drawing>
              <wp:anchor distT="45720" distB="45720" distL="114300" distR="114300" simplePos="0" relativeHeight="251659264" behindDoc="0" locked="0" layoutInCell="1" allowOverlap="1" wp14:anchorId="5E449AFB" wp14:editId="7E1F7F47">
                <wp:simplePos x="0" y="0"/>
                <wp:positionH relativeFrom="margin">
                  <wp:posOffset>-66675</wp:posOffset>
                </wp:positionH>
                <wp:positionV relativeFrom="paragraph">
                  <wp:posOffset>452755</wp:posOffset>
                </wp:positionV>
                <wp:extent cx="593407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95375"/>
                        </a:xfrm>
                        <a:prstGeom prst="rect">
                          <a:avLst/>
                        </a:prstGeom>
                        <a:solidFill>
                          <a:srgbClr val="FFFFFF"/>
                        </a:solidFill>
                        <a:ln w="9525">
                          <a:solidFill>
                            <a:srgbClr val="000000"/>
                          </a:solidFill>
                          <a:miter lim="800000"/>
                          <a:headEnd/>
                          <a:tailEnd/>
                        </a:ln>
                      </wps:spPr>
                      <wps:txbx>
                        <w:txbxContent>
                          <w:p w14:paraId="2819CD66" w14:textId="68A9C374" w:rsidR="008703D0" w:rsidRDefault="008703D0" w:rsidP="008703D0">
                            <w:pPr>
                              <w:rPr>
                                <w:b/>
                                <w:bCs/>
                                <w:sz w:val="24"/>
                                <w:szCs w:val="24"/>
                                <w:lang w:val="en-US"/>
                              </w:rPr>
                            </w:pPr>
                            <w:r w:rsidRPr="002B4E85">
                              <w:rPr>
                                <w:b/>
                                <w:bCs/>
                                <w:sz w:val="24"/>
                                <w:szCs w:val="24"/>
                                <w:lang w:val="en-US"/>
                              </w:rPr>
                              <w:t>Leaflets and further advice are also available from the Manchester Sickle Cell</w:t>
                            </w:r>
                            <w:r>
                              <w:rPr>
                                <w:b/>
                                <w:bCs/>
                                <w:sz w:val="24"/>
                                <w:szCs w:val="24"/>
                                <w:lang w:val="en-US"/>
                              </w:rPr>
                              <w:t xml:space="preserve"> and </w:t>
                            </w:r>
                            <w:r w:rsidRPr="002B4E85">
                              <w:rPr>
                                <w:b/>
                                <w:bCs/>
                                <w:sz w:val="24"/>
                                <w:szCs w:val="24"/>
                                <w:lang w:val="en-US"/>
                              </w:rPr>
                              <w:t>Thalassaemia Centre</w:t>
                            </w:r>
                            <w:r>
                              <w:rPr>
                                <w:b/>
                                <w:bCs/>
                                <w:sz w:val="24"/>
                                <w:szCs w:val="24"/>
                                <w:lang w:val="en-US"/>
                              </w:rPr>
                              <w:t xml:space="preserve">: </w:t>
                            </w:r>
                            <w:r w:rsidRPr="002B4E85">
                              <w:rPr>
                                <w:b/>
                                <w:bCs/>
                                <w:sz w:val="24"/>
                                <w:szCs w:val="24"/>
                                <w:lang w:val="en-US"/>
                              </w:rPr>
                              <w:t>Tel: 0161 274</w:t>
                            </w:r>
                            <w:r>
                              <w:rPr>
                                <w:b/>
                                <w:bCs/>
                                <w:sz w:val="24"/>
                                <w:szCs w:val="24"/>
                                <w:lang w:val="en-US"/>
                              </w:rPr>
                              <w:t xml:space="preserve"> </w:t>
                            </w:r>
                            <w:r w:rsidRPr="002B4E85">
                              <w:rPr>
                                <w:b/>
                                <w:bCs/>
                                <w:sz w:val="24"/>
                                <w:szCs w:val="24"/>
                                <w:lang w:val="en-US"/>
                              </w:rPr>
                              <w:t xml:space="preserve">3322. </w:t>
                            </w:r>
                          </w:p>
                          <w:p w14:paraId="567E1929" w14:textId="429E759B" w:rsidR="008703D0" w:rsidRDefault="008703D0">
                            <w:r w:rsidRPr="002B4E85">
                              <w:rPr>
                                <w:b/>
                                <w:bCs/>
                                <w:sz w:val="24"/>
                                <w:szCs w:val="24"/>
                                <w:lang w:val="en-US"/>
                              </w:rPr>
                              <w:t xml:space="preserve">Referrals for genetic counselling can be made by emailing </w:t>
                            </w:r>
                            <w:hyperlink r:id="rId10" w:tgtFrame="_blank" w:history="1">
                              <w:r w:rsidRPr="002B4E85">
                                <w:rPr>
                                  <w:rStyle w:val="Hyperlink"/>
                                  <w:rFonts w:ascii="Calibri" w:hAnsi="Calibri" w:cs="Calibri"/>
                                  <w:sz w:val="24"/>
                                  <w:szCs w:val="24"/>
                                  <w:bdr w:val="none" w:sz="0" w:space="0" w:color="auto" w:frame="1"/>
                                </w:rPr>
                                <w:t>mft.manchestersicklecell@nhs.net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49AFB" id="_x0000_t202" coordsize="21600,21600" o:spt="202" path="m,l,21600r21600,l21600,xe">
                <v:stroke joinstyle="miter"/>
                <v:path gradientshapeok="t" o:connecttype="rect"/>
              </v:shapetype>
              <v:shape id="Text Box 2" o:spid="_x0000_s1026" type="#_x0000_t202" style="position:absolute;left:0;text-align:left;margin-left:-5.25pt;margin-top:35.65pt;width:467.2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">
                <v:textbox>
                  <w:txbxContent>
                    <w:p w14:paraId="2819CD66" w14:textId="68A9C374" w:rsidR="008703D0" w:rsidRDefault="008703D0" w:rsidP="008703D0">
                      <w:pPr>
                        <w:rPr>
                          <w:b/>
                          <w:bCs/>
                          <w:sz w:val="24"/>
                          <w:szCs w:val="24"/>
                          <w:lang w:val="en-US"/>
                        </w:rPr>
                      </w:pPr>
                      <w:r w:rsidRPr="002B4E85">
                        <w:rPr>
                          <w:b/>
                          <w:bCs/>
                          <w:sz w:val="24"/>
                          <w:szCs w:val="24"/>
                          <w:lang w:val="en-US"/>
                        </w:rPr>
                        <w:t>Leaflets and further advice are also available from the Manchester Sickle Cell</w:t>
                      </w:r>
                      <w:r>
                        <w:rPr>
                          <w:b/>
                          <w:bCs/>
                          <w:sz w:val="24"/>
                          <w:szCs w:val="24"/>
                          <w:lang w:val="en-US"/>
                        </w:rPr>
                        <w:t xml:space="preserve"> and </w:t>
                      </w:r>
                      <w:r w:rsidRPr="002B4E85">
                        <w:rPr>
                          <w:b/>
                          <w:bCs/>
                          <w:sz w:val="24"/>
                          <w:szCs w:val="24"/>
                          <w:lang w:val="en-US"/>
                        </w:rPr>
                        <w:t>Thalassaemia Centre</w:t>
                      </w:r>
                      <w:r>
                        <w:rPr>
                          <w:b/>
                          <w:bCs/>
                          <w:sz w:val="24"/>
                          <w:szCs w:val="24"/>
                          <w:lang w:val="en-US"/>
                        </w:rPr>
                        <w:t xml:space="preserve">: </w:t>
                      </w:r>
                      <w:r w:rsidRPr="002B4E85">
                        <w:rPr>
                          <w:b/>
                          <w:bCs/>
                          <w:sz w:val="24"/>
                          <w:szCs w:val="24"/>
                          <w:lang w:val="en-US"/>
                        </w:rPr>
                        <w:t>Tel: 0161 274</w:t>
                      </w:r>
                      <w:r>
                        <w:rPr>
                          <w:b/>
                          <w:bCs/>
                          <w:sz w:val="24"/>
                          <w:szCs w:val="24"/>
                          <w:lang w:val="en-US"/>
                        </w:rPr>
                        <w:t xml:space="preserve"> </w:t>
                      </w:r>
                      <w:r w:rsidRPr="002B4E85">
                        <w:rPr>
                          <w:b/>
                          <w:bCs/>
                          <w:sz w:val="24"/>
                          <w:szCs w:val="24"/>
                          <w:lang w:val="en-US"/>
                        </w:rPr>
                        <w:t xml:space="preserve">3322. </w:t>
                      </w:r>
                    </w:p>
                    <w:p w14:paraId="567E1929" w14:textId="429E759B" w:rsidR="008703D0" w:rsidRDefault="008703D0">
                      <w:r w:rsidRPr="002B4E85">
                        <w:rPr>
                          <w:b/>
                          <w:bCs/>
                          <w:sz w:val="24"/>
                          <w:szCs w:val="24"/>
                          <w:lang w:val="en-US"/>
                        </w:rPr>
                        <w:t xml:space="preserve">Referrals for genetic counselling can be made by emailing </w:t>
                      </w:r>
                      <w:hyperlink r:id="rId11" w:tgtFrame="_blank" w:history="1">
                        <w:r w:rsidRPr="002B4E85">
                          <w:rPr>
                            <w:rStyle w:val="Hyperlink"/>
                            <w:rFonts w:ascii="Calibri" w:hAnsi="Calibri" w:cs="Calibri"/>
                            <w:sz w:val="24"/>
                            <w:szCs w:val="24"/>
                            <w:bdr w:val="none" w:sz="0" w:space="0" w:color="auto" w:frame="1"/>
                          </w:rPr>
                          <w:t>mft.manchestersicklecell@nhs.net</w:t>
                        </w:r>
                      </w:hyperlink>
                    </w:p>
                  </w:txbxContent>
                </v:textbox>
                <w10:wrap type="square" anchorx="margin"/>
              </v:shape>
            </w:pict>
          </mc:Fallback>
        </mc:AlternateContent>
      </w:r>
      <w:hyperlink r:id="rId12" w:history="1">
        <w:r w:rsidR="00934DD0" w:rsidRPr="0046158F">
          <w:rPr>
            <w:rStyle w:val="Hyperlink"/>
          </w:rPr>
          <w:t>http://2000.apogi.info/</w:t>
        </w:r>
      </w:hyperlink>
    </w:p>
    <w:p w14:paraId="72114F2B" w14:textId="168AB9A2" w:rsidR="002C58E7" w:rsidRDefault="002C58E7" w:rsidP="002C58E7">
      <w:pPr>
        <w:rPr>
          <w:b/>
          <w:u w:val="single"/>
        </w:rPr>
      </w:pPr>
      <w:r>
        <w:rPr>
          <w:b/>
          <w:u w:val="single"/>
        </w:rPr>
        <w:lastRenderedPageBreak/>
        <w:t>Investigation of microcytic hypochromic (low MCV, MCH) indices where iron deficiency has been excluded or persists after treatment</w:t>
      </w:r>
    </w:p>
    <w:p w14:paraId="1D1726C6" w14:textId="77777777" w:rsidR="002C58E7" w:rsidRPr="002C58E7" w:rsidRDefault="002C58E7" w:rsidP="008703D0">
      <w:pPr>
        <w:jc w:val="both"/>
        <w:rPr>
          <w:b/>
          <w:u w:val="single"/>
        </w:rPr>
      </w:pPr>
      <w:r>
        <w:rPr>
          <w:lang w:val="en-US"/>
        </w:rPr>
        <w:t xml:space="preserve">Consider the following conditions </w:t>
      </w:r>
      <w:r w:rsidRPr="00F13092">
        <w:rPr>
          <w:lang w:val="en-US"/>
        </w:rPr>
        <w:t>most frequently associated with microcyti</w:t>
      </w:r>
      <w:r>
        <w:rPr>
          <w:lang w:val="en-US"/>
        </w:rPr>
        <w:t xml:space="preserve">c hypochromic indices and send blood for </w:t>
      </w:r>
      <w:proofErr w:type="spellStart"/>
      <w:r>
        <w:rPr>
          <w:lang w:val="en-US"/>
        </w:rPr>
        <w:t>haemoglobin</w:t>
      </w:r>
      <w:proofErr w:type="spellEnd"/>
      <w:r>
        <w:rPr>
          <w:lang w:val="en-US"/>
        </w:rPr>
        <w:t xml:space="preserve"> screen and ferritin (if no result available):</w:t>
      </w:r>
    </w:p>
    <w:p w14:paraId="1C37410A" w14:textId="77777777" w:rsidR="002C58E7" w:rsidRDefault="002C58E7" w:rsidP="008703D0">
      <w:pPr>
        <w:pStyle w:val="ListParagraph"/>
        <w:numPr>
          <w:ilvl w:val="0"/>
          <w:numId w:val="4"/>
        </w:numPr>
        <w:spacing w:line="240" w:lineRule="auto"/>
        <w:jc w:val="both"/>
      </w:pPr>
      <w:r w:rsidRPr="002C58E7">
        <w:rPr>
          <w:lang w:val="en-US"/>
        </w:rPr>
        <w:t xml:space="preserve">Alpha </w:t>
      </w:r>
      <w:proofErr w:type="spellStart"/>
      <w:r w:rsidRPr="002C58E7">
        <w:rPr>
          <w:lang w:val="en-US"/>
        </w:rPr>
        <w:t>thalassaemia</w:t>
      </w:r>
      <w:proofErr w:type="spellEnd"/>
    </w:p>
    <w:p w14:paraId="0EC6DE93" w14:textId="77777777" w:rsidR="002C58E7" w:rsidRPr="002C58E7" w:rsidRDefault="002C58E7" w:rsidP="008703D0">
      <w:pPr>
        <w:pStyle w:val="ListParagraph"/>
        <w:numPr>
          <w:ilvl w:val="0"/>
          <w:numId w:val="4"/>
        </w:numPr>
        <w:spacing w:line="240" w:lineRule="auto"/>
        <w:jc w:val="both"/>
      </w:pPr>
      <w:r w:rsidRPr="002C58E7">
        <w:rPr>
          <w:lang w:val="en-US"/>
        </w:rPr>
        <w:t xml:space="preserve">Beta </w:t>
      </w:r>
      <w:proofErr w:type="spellStart"/>
      <w:r w:rsidRPr="002C58E7">
        <w:rPr>
          <w:lang w:val="en-US"/>
        </w:rPr>
        <w:t>thalassaemia</w:t>
      </w:r>
      <w:proofErr w:type="spellEnd"/>
    </w:p>
    <w:p w14:paraId="7E555AE1" w14:textId="77777777" w:rsidR="002C58E7" w:rsidRPr="002C58E7" w:rsidRDefault="002C58E7" w:rsidP="008703D0">
      <w:pPr>
        <w:pStyle w:val="ListParagraph"/>
        <w:numPr>
          <w:ilvl w:val="0"/>
          <w:numId w:val="4"/>
        </w:numPr>
        <w:spacing w:line="240" w:lineRule="auto"/>
        <w:jc w:val="both"/>
      </w:pPr>
      <w:r w:rsidRPr="002C58E7">
        <w:rPr>
          <w:lang w:val="en-US"/>
        </w:rPr>
        <w:t xml:space="preserve">Delta beta </w:t>
      </w:r>
      <w:proofErr w:type="spellStart"/>
      <w:r w:rsidRPr="002C58E7">
        <w:rPr>
          <w:lang w:val="en-US"/>
        </w:rPr>
        <w:t>thalassaemia</w:t>
      </w:r>
      <w:proofErr w:type="spellEnd"/>
    </w:p>
    <w:p w14:paraId="2B8C73C2" w14:textId="77777777" w:rsidR="002C58E7" w:rsidRPr="002C58E7" w:rsidRDefault="002C58E7" w:rsidP="008703D0">
      <w:pPr>
        <w:pStyle w:val="ListParagraph"/>
        <w:numPr>
          <w:ilvl w:val="0"/>
          <w:numId w:val="4"/>
        </w:numPr>
        <w:spacing w:line="240" w:lineRule="auto"/>
        <w:jc w:val="both"/>
      </w:pPr>
      <w:r w:rsidRPr="002C58E7">
        <w:rPr>
          <w:lang w:val="en-US"/>
        </w:rPr>
        <w:t xml:space="preserve">Haemoglobin E </w:t>
      </w:r>
    </w:p>
    <w:p w14:paraId="4641A36E" w14:textId="77777777" w:rsidR="002C58E7" w:rsidRPr="002C58E7" w:rsidRDefault="002C58E7" w:rsidP="008703D0">
      <w:pPr>
        <w:pStyle w:val="ListParagraph"/>
        <w:numPr>
          <w:ilvl w:val="0"/>
          <w:numId w:val="4"/>
        </w:numPr>
        <w:spacing w:line="240" w:lineRule="auto"/>
        <w:jc w:val="both"/>
      </w:pPr>
      <w:r w:rsidRPr="002C58E7">
        <w:rPr>
          <w:lang w:val="en-US"/>
        </w:rPr>
        <w:t xml:space="preserve">Other </w:t>
      </w:r>
      <w:proofErr w:type="spellStart"/>
      <w:r w:rsidRPr="002C58E7">
        <w:rPr>
          <w:lang w:val="en-US"/>
        </w:rPr>
        <w:t>haemoglobin</w:t>
      </w:r>
      <w:proofErr w:type="spellEnd"/>
      <w:r w:rsidRPr="002C58E7">
        <w:rPr>
          <w:lang w:val="en-US"/>
        </w:rPr>
        <w:t xml:space="preserve"> variants</w:t>
      </w:r>
    </w:p>
    <w:p w14:paraId="5F279783" w14:textId="77777777" w:rsidR="00DE08FA" w:rsidRPr="002C58E7" w:rsidRDefault="002C58E7" w:rsidP="008703D0">
      <w:pPr>
        <w:jc w:val="both"/>
      </w:pPr>
      <w:r w:rsidRPr="00F13092">
        <w:rPr>
          <w:lang w:val="en-US"/>
        </w:rPr>
        <w:t xml:space="preserve">Carriers for these haemoglobinopathies are </w:t>
      </w:r>
      <w:r>
        <w:rPr>
          <w:lang w:val="en-US"/>
        </w:rPr>
        <w:t xml:space="preserve">clinically </w:t>
      </w:r>
      <w:r w:rsidRPr="00F13092">
        <w:rPr>
          <w:lang w:val="en-US"/>
        </w:rPr>
        <w:t>asymptoma</w:t>
      </w:r>
      <w:r>
        <w:rPr>
          <w:lang w:val="en-US"/>
        </w:rPr>
        <w:t xml:space="preserve">tic. Milder carriers may have a </w:t>
      </w:r>
      <w:r w:rsidRPr="00F13092">
        <w:rPr>
          <w:lang w:val="en-US"/>
        </w:rPr>
        <w:t xml:space="preserve">normal </w:t>
      </w:r>
      <w:proofErr w:type="spellStart"/>
      <w:r w:rsidRPr="00F13092">
        <w:rPr>
          <w:lang w:val="en-US"/>
        </w:rPr>
        <w:t>haemoglobin</w:t>
      </w:r>
      <w:proofErr w:type="spellEnd"/>
      <w:r w:rsidRPr="00F13092">
        <w:rPr>
          <w:lang w:val="en-US"/>
        </w:rPr>
        <w:t xml:space="preserve"> with minimal reduction in MCV and MCH while other carriers will have mild </w:t>
      </w:r>
      <w:proofErr w:type="spellStart"/>
      <w:r w:rsidRPr="00F13092">
        <w:rPr>
          <w:lang w:val="en-US"/>
        </w:rPr>
        <w:t>anaemia</w:t>
      </w:r>
      <w:proofErr w:type="spellEnd"/>
      <w:r w:rsidRPr="00F13092">
        <w:rPr>
          <w:lang w:val="en-US"/>
        </w:rPr>
        <w:t xml:space="preserve"> with more marked reduction in MCV and MCH. </w:t>
      </w:r>
      <w:r w:rsidRPr="00F075C0">
        <w:rPr>
          <w:b/>
          <w:lang w:val="en-US"/>
        </w:rPr>
        <w:t>Carriers for haemoglobinopathy do not need haematology follow up</w:t>
      </w:r>
      <w:r w:rsidRPr="00F13092">
        <w:rPr>
          <w:lang w:val="en-US"/>
        </w:rPr>
        <w:t xml:space="preserve"> however, individuals with more severe </w:t>
      </w:r>
      <w:proofErr w:type="spellStart"/>
      <w:r w:rsidRPr="00F13092">
        <w:rPr>
          <w:lang w:val="en-US"/>
        </w:rPr>
        <w:t>anaemia</w:t>
      </w:r>
      <w:proofErr w:type="spellEnd"/>
      <w:r w:rsidRPr="00F13092">
        <w:rPr>
          <w:lang w:val="en-US"/>
        </w:rPr>
        <w:t xml:space="preserve"> (&gt; 20g/l below lower limit of normal) or those with symptoms or splenomegaly should be referred for a </w:t>
      </w:r>
      <w:proofErr w:type="spellStart"/>
      <w:r w:rsidRPr="00F13092">
        <w:rPr>
          <w:lang w:val="en-US"/>
        </w:rPr>
        <w:t>haematological</w:t>
      </w:r>
      <w:proofErr w:type="spellEnd"/>
      <w:r w:rsidRPr="00F13092">
        <w:rPr>
          <w:lang w:val="en-US"/>
        </w:rPr>
        <w:t xml:space="preserve"> review.</w:t>
      </w:r>
    </w:p>
    <w:p w14:paraId="0CEC73A8" w14:textId="114A0064" w:rsidR="00F13092" w:rsidRPr="00F13092" w:rsidRDefault="00F13092" w:rsidP="008703D0">
      <w:pPr>
        <w:jc w:val="both"/>
      </w:pPr>
      <w:r w:rsidRPr="00F13092">
        <w:rPr>
          <w:b/>
          <w:bCs/>
          <w:u w:val="single"/>
          <w:lang w:val="en-US"/>
        </w:rPr>
        <w:t xml:space="preserve">Beta </w:t>
      </w:r>
      <w:r w:rsidR="008703D0">
        <w:rPr>
          <w:b/>
          <w:bCs/>
          <w:u w:val="single"/>
          <w:lang w:val="en-US"/>
        </w:rPr>
        <w:t>T</w:t>
      </w:r>
      <w:r w:rsidRPr="00F13092">
        <w:rPr>
          <w:b/>
          <w:bCs/>
          <w:u w:val="single"/>
          <w:lang w:val="en-US"/>
        </w:rPr>
        <w:t>halassaemia</w:t>
      </w:r>
    </w:p>
    <w:p w14:paraId="661D9932" w14:textId="77BFA824" w:rsidR="00F13092" w:rsidRDefault="00F13092" w:rsidP="008703D0">
      <w:pPr>
        <w:jc w:val="both"/>
        <w:rPr>
          <w:lang w:val="en-US"/>
        </w:rPr>
      </w:pPr>
      <w:r w:rsidRPr="00F13092">
        <w:rPr>
          <w:lang w:val="en-US"/>
        </w:rPr>
        <w:t xml:space="preserve">Carrier states for beta </w:t>
      </w:r>
      <w:proofErr w:type="spellStart"/>
      <w:r w:rsidRPr="00F13092">
        <w:rPr>
          <w:lang w:val="en-US"/>
        </w:rPr>
        <w:t>thalassaemia</w:t>
      </w:r>
      <w:proofErr w:type="spellEnd"/>
      <w:r w:rsidRPr="00F13092">
        <w:rPr>
          <w:lang w:val="en-US"/>
        </w:rPr>
        <w:t xml:space="preserve"> are asymptomatic and have a mild </w:t>
      </w:r>
      <w:proofErr w:type="spellStart"/>
      <w:r w:rsidRPr="00F13092">
        <w:rPr>
          <w:lang w:val="en-US"/>
        </w:rPr>
        <w:t>anaemia</w:t>
      </w:r>
      <w:proofErr w:type="spellEnd"/>
      <w:r w:rsidRPr="00F13092">
        <w:rPr>
          <w:lang w:val="en-US"/>
        </w:rPr>
        <w:t xml:space="preserve"> often with marked microcytosis. Carriers should be </w:t>
      </w:r>
      <w:r w:rsidR="000103D7">
        <w:rPr>
          <w:lang w:val="en-US"/>
        </w:rPr>
        <w:t>referred</w:t>
      </w:r>
      <w:r w:rsidR="000103D7" w:rsidRPr="00F13092">
        <w:rPr>
          <w:lang w:val="en-US"/>
        </w:rPr>
        <w:t xml:space="preserve"> </w:t>
      </w:r>
      <w:r w:rsidRPr="00F13092">
        <w:rPr>
          <w:lang w:val="en-US"/>
        </w:rPr>
        <w:t xml:space="preserve">for </w:t>
      </w:r>
      <w:r w:rsidR="00F075C0">
        <w:rPr>
          <w:lang w:val="en-US"/>
        </w:rPr>
        <w:t xml:space="preserve">genetic counselling as offspring of </w:t>
      </w:r>
      <w:r w:rsidRPr="00F13092">
        <w:rPr>
          <w:lang w:val="en-US"/>
        </w:rPr>
        <w:t xml:space="preserve">beta </w:t>
      </w:r>
      <w:proofErr w:type="spellStart"/>
      <w:r w:rsidRPr="00F13092">
        <w:rPr>
          <w:lang w:val="en-US"/>
        </w:rPr>
        <w:t>thalassaemia</w:t>
      </w:r>
      <w:proofErr w:type="spellEnd"/>
      <w:r w:rsidR="00F90A70">
        <w:rPr>
          <w:lang w:val="en-US"/>
        </w:rPr>
        <w:t xml:space="preserve"> carriers and</w:t>
      </w:r>
      <w:r w:rsidR="007A7B23">
        <w:rPr>
          <w:lang w:val="en-US"/>
        </w:rPr>
        <w:t xml:space="preserve"> partner carriers of</w:t>
      </w:r>
      <w:r w:rsidRPr="00F13092">
        <w:rPr>
          <w:lang w:val="en-US"/>
        </w:rPr>
        <w:t xml:space="preserve"> </w:t>
      </w:r>
      <w:r w:rsidR="002C58E7">
        <w:rPr>
          <w:lang w:val="en-US"/>
        </w:rPr>
        <w:t xml:space="preserve">beta thalassemia or </w:t>
      </w:r>
      <w:r w:rsidR="00F075C0">
        <w:rPr>
          <w:lang w:val="en-US"/>
        </w:rPr>
        <w:t xml:space="preserve">sickle cell or other </w:t>
      </w:r>
      <w:proofErr w:type="spellStart"/>
      <w:r w:rsidR="00F075C0">
        <w:rPr>
          <w:lang w:val="en-US"/>
        </w:rPr>
        <w:t>haemoglobin</w:t>
      </w:r>
      <w:proofErr w:type="spellEnd"/>
      <w:r w:rsidR="00F075C0">
        <w:rPr>
          <w:lang w:val="en-US"/>
        </w:rPr>
        <w:t xml:space="preserve"> variants may inherit</w:t>
      </w:r>
      <w:r w:rsidRPr="00F13092">
        <w:rPr>
          <w:lang w:val="en-US"/>
        </w:rPr>
        <w:t xml:space="preserve"> </w:t>
      </w:r>
      <w:r w:rsidR="00CB10A3">
        <w:rPr>
          <w:lang w:val="en-US"/>
        </w:rPr>
        <w:t xml:space="preserve">the </w:t>
      </w:r>
      <w:r w:rsidRPr="00F13092">
        <w:rPr>
          <w:lang w:val="en-US"/>
        </w:rPr>
        <w:t xml:space="preserve">clinically significant </w:t>
      </w:r>
      <w:r w:rsidR="00CB10A3">
        <w:rPr>
          <w:lang w:val="en-US"/>
        </w:rPr>
        <w:t>T</w:t>
      </w:r>
      <w:r w:rsidR="00F075C0">
        <w:rPr>
          <w:lang w:val="en-US"/>
        </w:rPr>
        <w:t xml:space="preserve">halassemia or </w:t>
      </w:r>
      <w:r w:rsidR="00CB10A3">
        <w:rPr>
          <w:lang w:val="en-US"/>
        </w:rPr>
        <w:t>S</w:t>
      </w:r>
      <w:r w:rsidR="00F075C0">
        <w:rPr>
          <w:lang w:val="en-US"/>
        </w:rPr>
        <w:t xml:space="preserve">ickle </w:t>
      </w:r>
      <w:r w:rsidR="00CB10A3">
        <w:rPr>
          <w:lang w:val="en-US"/>
        </w:rPr>
        <w:t>C</w:t>
      </w:r>
      <w:r w:rsidR="00F075C0">
        <w:rPr>
          <w:lang w:val="en-US"/>
        </w:rPr>
        <w:t xml:space="preserve">ell </w:t>
      </w:r>
      <w:r w:rsidR="00CB10A3">
        <w:rPr>
          <w:lang w:val="en-US"/>
        </w:rPr>
        <w:t>D</w:t>
      </w:r>
      <w:r w:rsidR="00F075C0">
        <w:rPr>
          <w:lang w:val="en-US"/>
        </w:rPr>
        <w:t xml:space="preserve">isease respectively.  </w:t>
      </w:r>
      <w:r w:rsidRPr="00F13092">
        <w:rPr>
          <w:lang w:val="en-US"/>
        </w:rPr>
        <w:t xml:space="preserve">Beta </w:t>
      </w:r>
      <w:proofErr w:type="spellStart"/>
      <w:r w:rsidRPr="00F13092">
        <w:rPr>
          <w:lang w:val="en-US"/>
        </w:rPr>
        <w:t>thalassaemia</w:t>
      </w:r>
      <w:proofErr w:type="spellEnd"/>
      <w:r w:rsidR="00F075C0">
        <w:rPr>
          <w:lang w:val="en-US"/>
        </w:rPr>
        <w:t xml:space="preserve"> carriage </w:t>
      </w:r>
      <w:r w:rsidRPr="00F13092">
        <w:rPr>
          <w:lang w:val="en-US"/>
        </w:rPr>
        <w:t xml:space="preserve">is diagnosed on the finding of a raised Hb A2 level with other phenotypic evidence suggesting beta </w:t>
      </w:r>
      <w:proofErr w:type="spellStart"/>
      <w:r w:rsidRPr="00F13092">
        <w:rPr>
          <w:lang w:val="en-US"/>
        </w:rPr>
        <w:t>thalassaemia</w:t>
      </w:r>
      <w:proofErr w:type="spellEnd"/>
      <w:r w:rsidRPr="00F13092">
        <w:rPr>
          <w:lang w:val="en-US"/>
        </w:rPr>
        <w:t xml:space="preserve">. In these </w:t>
      </w:r>
      <w:proofErr w:type="gramStart"/>
      <w:r w:rsidRPr="00F13092">
        <w:rPr>
          <w:lang w:val="en-US"/>
        </w:rPr>
        <w:t>cases</w:t>
      </w:r>
      <w:proofErr w:type="gramEnd"/>
      <w:r w:rsidRPr="00F13092">
        <w:rPr>
          <w:lang w:val="en-US"/>
        </w:rPr>
        <w:t xml:space="preserve"> a haemoglobinopathy card may be issued.</w:t>
      </w:r>
    </w:p>
    <w:p w14:paraId="188AF09A" w14:textId="77777777" w:rsidR="00F075C0" w:rsidRPr="00F13092" w:rsidRDefault="00F075C0" w:rsidP="008703D0">
      <w:pPr>
        <w:jc w:val="both"/>
      </w:pPr>
      <w:r w:rsidRPr="00F075C0">
        <w:rPr>
          <w:b/>
          <w:lang w:val="en-US"/>
        </w:rPr>
        <w:t xml:space="preserve">Beta </w:t>
      </w:r>
      <w:proofErr w:type="spellStart"/>
      <w:r w:rsidRPr="00F075C0">
        <w:rPr>
          <w:b/>
          <w:lang w:val="en-US"/>
        </w:rPr>
        <w:t>thalassaemia</w:t>
      </w:r>
      <w:proofErr w:type="spellEnd"/>
      <w:r w:rsidRPr="00F075C0">
        <w:rPr>
          <w:b/>
          <w:lang w:val="en-US"/>
        </w:rPr>
        <w:t xml:space="preserve"> carriers do not need to be seen in the hae</w:t>
      </w:r>
      <w:r w:rsidR="00BD61C0">
        <w:rPr>
          <w:b/>
          <w:lang w:val="en-US"/>
        </w:rPr>
        <w:t>ma</w:t>
      </w:r>
      <w:r w:rsidRPr="00F075C0">
        <w:rPr>
          <w:b/>
          <w:lang w:val="en-US"/>
        </w:rPr>
        <w:t>tology clinic</w:t>
      </w:r>
      <w:r>
        <w:rPr>
          <w:lang w:val="en-US"/>
        </w:rPr>
        <w:t xml:space="preserve"> unless there are atypical blood findings and concomitant iron deficiency has been excluded. </w:t>
      </w:r>
      <w:r w:rsidR="00F90A70">
        <w:rPr>
          <w:lang w:val="en-US"/>
        </w:rPr>
        <w:t>C</w:t>
      </w:r>
      <w:r w:rsidR="00BD61C0">
        <w:rPr>
          <w:lang w:val="en-US"/>
        </w:rPr>
        <w:t xml:space="preserve">onsider if genetic counselling is needed, particularly for individuals of childbearing age. </w:t>
      </w:r>
      <w:r>
        <w:rPr>
          <w:lang w:val="en-US"/>
        </w:rPr>
        <w:t>See also above for information on accessing information for patients.</w:t>
      </w:r>
    </w:p>
    <w:p w14:paraId="253D0AD4" w14:textId="77777777" w:rsidR="00F13092" w:rsidRPr="00F13092" w:rsidRDefault="00F13092" w:rsidP="008703D0">
      <w:pPr>
        <w:jc w:val="both"/>
      </w:pPr>
      <w:r w:rsidRPr="00F13092">
        <w:rPr>
          <w:b/>
          <w:bCs/>
          <w:u w:val="single"/>
          <w:lang w:val="en-US"/>
        </w:rPr>
        <w:t>Alpha Thalassaemia</w:t>
      </w:r>
      <w:r w:rsidRPr="00F13092">
        <w:rPr>
          <w:b/>
          <w:bCs/>
          <w:lang w:val="en-US"/>
        </w:rPr>
        <w:t xml:space="preserve"> </w:t>
      </w:r>
    </w:p>
    <w:p w14:paraId="31D53A69" w14:textId="77777777" w:rsidR="00BC78EF" w:rsidRDefault="00F13092" w:rsidP="008703D0">
      <w:pPr>
        <w:jc w:val="both"/>
        <w:rPr>
          <w:lang w:val="en-US"/>
        </w:rPr>
      </w:pPr>
      <w:r w:rsidRPr="00F13092">
        <w:rPr>
          <w:lang w:val="en-US"/>
        </w:rPr>
        <w:t xml:space="preserve">Alpha </w:t>
      </w:r>
      <w:proofErr w:type="spellStart"/>
      <w:r w:rsidRPr="00F13092">
        <w:rPr>
          <w:lang w:val="en-US"/>
        </w:rPr>
        <w:t>thalassaemia</w:t>
      </w:r>
      <w:proofErr w:type="spellEnd"/>
      <w:r w:rsidRPr="00F13092">
        <w:rPr>
          <w:lang w:val="en-US"/>
        </w:rPr>
        <w:t xml:space="preserve"> is usually suspected in a patient with a hypochromic, microcytic blood picture (with or without </w:t>
      </w:r>
      <w:proofErr w:type="spellStart"/>
      <w:r w:rsidRPr="00F13092">
        <w:rPr>
          <w:lang w:val="en-US"/>
        </w:rPr>
        <w:t>anaemia</w:t>
      </w:r>
      <w:proofErr w:type="spellEnd"/>
      <w:r w:rsidRPr="00F13092">
        <w:rPr>
          <w:lang w:val="en-US"/>
        </w:rPr>
        <w:t xml:space="preserve">) where other causes for these findings such as beta </w:t>
      </w:r>
      <w:proofErr w:type="spellStart"/>
      <w:r w:rsidRPr="00F13092">
        <w:rPr>
          <w:lang w:val="en-US"/>
        </w:rPr>
        <w:t>thalassaemia</w:t>
      </w:r>
      <w:proofErr w:type="spellEnd"/>
      <w:r w:rsidRPr="00F13092">
        <w:rPr>
          <w:lang w:val="en-US"/>
        </w:rPr>
        <w:t xml:space="preserve"> or iron deficiency have been excluded.  </w:t>
      </w:r>
    </w:p>
    <w:p w14:paraId="5C2EAE5A" w14:textId="77777777" w:rsidR="00BC78EF" w:rsidRPr="00F13092" w:rsidRDefault="00BC78EF" w:rsidP="008703D0">
      <w:pPr>
        <w:jc w:val="both"/>
      </w:pPr>
      <w:r w:rsidRPr="00BC78EF">
        <w:rPr>
          <w:b/>
        </w:rPr>
        <w:t>Alpha thalassaemia carriers do not need to be followed up in the haematology clinic</w:t>
      </w:r>
      <w:r>
        <w:t xml:space="preserve"> but should be referred for genetic counselling to the Manchester Sickle Cell and Thalassaemia Centre, if appropriate (see below).</w:t>
      </w:r>
    </w:p>
    <w:p w14:paraId="05E3953B" w14:textId="77777777" w:rsidR="00F13092" w:rsidRPr="00F13092" w:rsidRDefault="00F13092" w:rsidP="008703D0">
      <w:pPr>
        <w:jc w:val="both"/>
      </w:pPr>
      <w:r w:rsidRPr="00F13092">
        <w:rPr>
          <w:lang w:val="en-US"/>
        </w:rPr>
        <w:t xml:space="preserve">Definitive diagnosis of alpha </w:t>
      </w:r>
      <w:proofErr w:type="spellStart"/>
      <w:r w:rsidRPr="00F13092">
        <w:rPr>
          <w:lang w:val="en-US"/>
        </w:rPr>
        <w:t>thalassaemia</w:t>
      </w:r>
      <w:proofErr w:type="spellEnd"/>
      <w:r w:rsidRPr="00F13092">
        <w:rPr>
          <w:lang w:val="en-US"/>
        </w:rPr>
        <w:t xml:space="preserve"> can only be made by DNA studies.  This is not usually necessary except in certain circumstances (see below). </w:t>
      </w:r>
    </w:p>
    <w:p w14:paraId="06E0A672" w14:textId="77777777" w:rsidR="00F13092" w:rsidRPr="00F13092" w:rsidRDefault="00F13092" w:rsidP="008703D0">
      <w:pPr>
        <w:pStyle w:val="ListParagraph"/>
        <w:numPr>
          <w:ilvl w:val="0"/>
          <w:numId w:val="8"/>
        </w:numPr>
        <w:jc w:val="both"/>
      </w:pPr>
      <w:r w:rsidRPr="00F90A70">
        <w:rPr>
          <w:lang w:val="en-US"/>
        </w:rPr>
        <w:t xml:space="preserve">There are 4 genes controlling alpha </w:t>
      </w:r>
      <w:proofErr w:type="spellStart"/>
      <w:r w:rsidRPr="00F90A70">
        <w:rPr>
          <w:lang w:val="en-US"/>
        </w:rPr>
        <w:t>thalassaemia</w:t>
      </w:r>
      <w:proofErr w:type="spellEnd"/>
      <w:r w:rsidRPr="00F90A70">
        <w:rPr>
          <w:lang w:val="en-US"/>
        </w:rPr>
        <w:t xml:space="preserve"> (2 on each chromosome) and the number of defective genes will dictate the clinical features:</w:t>
      </w:r>
    </w:p>
    <w:p w14:paraId="735E04C1" w14:textId="77777777" w:rsidR="00F13092" w:rsidRPr="00F13092" w:rsidRDefault="00F13092" w:rsidP="008703D0">
      <w:pPr>
        <w:pStyle w:val="ListParagraph"/>
        <w:numPr>
          <w:ilvl w:val="0"/>
          <w:numId w:val="8"/>
        </w:numPr>
        <w:jc w:val="both"/>
      </w:pPr>
      <w:r w:rsidRPr="00F90A70">
        <w:rPr>
          <w:lang w:val="en-US"/>
        </w:rPr>
        <w:lastRenderedPageBreak/>
        <w:t xml:space="preserve">Persons with 1 or 2 defective genes are usually asymptomatic and do not need any further investigation or treatment. Iron treatment is not effective and should not be given unless concomitant iron deficiency is proven. </w:t>
      </w:r>
    </w:p>
    <w:p w14:paraId="78E959CB" w14:textId="4054264E" w:rsidR="00BD61C0" w:rsidRPr="00BD61C0" w:rsidRDefault="00F13092" w:rsidP="008703D0">
      <w:pPr>
        <w:jc w:val="both"/>
      </w:pPr>
      <w:r w:rsidRPr="00F13092">
        <w:rPr>
          <w:lang w:val="en-US"/>
        </w:rPr>
        <w:t>The only indication for further testing is in the antenatal context where it is important to distinguish those who have alpha zero (2 defective genes on the same chromosome) from those who have homozygous alpha + (2 defective genes on opposite chromosomes).  The former will require partner testing to establish the risk</w:t>
      </w:r>
      <w:r w:rsidR="00F90A70">
        <w:rPr>
          <w:lang w:val="en-US"/>
        </w:rPr>
        <w:t xml:space="preserve"> to offspring of </w:t>
      </w:r>
      <w:r w:rsidR="00557CFB">
        <w:rPr>
          <w:lang w:val="en-US"/>
        </w:rPr>
        <w:t>inheriting</w:t>
      </w:r>
      <w:r w:rsidRPr="00F13092">
        <w:rPr>
          <w:lang w:val="en-US"/>
        </w:rPr>
        <w:t xml:space="preserve"> </w:t>
      </w:r>
      <w:r w:rsidR="00F90A70">
        <w:rPr>
          <w:lang w:val="en-US"/>
        </w:rPr>
        <w:t xml:space="preserve">clinically significant alpha </w:t>
      </w:r>
      <w:proofErr w:type="spellStart"/>
      <w:r w:rsidR="00F90A70">
        <w:rPr>
          <w:lang w:val="en-US"/>
        </w:rPr>
        <w:t>thalassaemia</w:t>
      </w:r>
      <w:proofErr w:type="spellEnd"/>
      <w:r w:rsidR="00F90A70">
        <w:rPr>
          <w:lang w:val="en-US"/>
        </w:rPr>
        <w:t xml:space="preserve"> </w:t>
      </w:r>
      <w:r w:rsidRPr="00F13092">
        <w:rPr>
          <w:lang w:val="en-US"/>
        </w:rPr>
        <w:t>whilst the latter requires no further action. Alpha zero cannot be distinguished from homozygous alpha plus on blood indices alone.</w:t>
      </w:r>
      <w:r w:rsidR="00BD61C0">
        <w:t xml:space="preserve"> </w:t>
      </w:r>
      <w:r w:rsidRPr="00F13092">
        <w:rPr>
          <w:lang w:val="en-US"/>
        </w:rPr>
        <w:t xml:space="preserve">Alpha plus </w:t>
      </w:r>
      <w:proofErr w:type="spellStart"/>
      <w:r w:rsidRPr="00F13092">
        <w:rPr>
          <w:lang w:val="en-US"/>
        </w:rPr>
        <w:t>thalassaemia</w:t>
      </w:r>
      <w:proofErr w:type="spellEnd"/>
      <w:r w:rsidRPr="00F13092">
        <w:rPr>
          <w:lang w:val="en-US"/>
        </w:rPr>
        <w:t xml:space="preserve"> is extremely common being found in up to 30% o</w:t>
      </w:r>
      <w:r w:rsidR="003E053F">
        <w:rPr>
          <w:lang w:val="en-US"/>
        </w:rPr>
        <w:t>f</w:t>
      </w:r>
      <w:r w:rsidRPr="00F13092">
        <w:rPr>
          <w:lang w:val="en-US"/>
        </w:rPr>
        <w:t xml:space="preserve"> persons of African origin.  It is also common in all parts of Asia, particularly in </w:t>
      </w:r>
      <w:r w:rsidR="008703D0" w:rsidRPr="00F13092">
        <w:rPr>
          <w:lang w:val="en-US"/>
        </w:rPr>
        <w:t>Southeast</w:t>
      </w:r>
      <w:r w:rsidRPr="00F13092">
        <w:rPr>
          <w:lang w:val="en-US"/>
        </w:rPr>
        <w:t xml:space="preserve"> Asia.  Alpha zero is found in some Mediterranean populations but its highest frequency is in individuals from </w:t>
      </w:r>
      <w:r w:rsidR="008703D0" w:rsidRPr="00F13092">
        <w:rPr>
          <w:lang w:val="en-US"/>
        </w:rPr>
        <w:t>southeast</w:t>
      </w:r>
      <w:r w:rsidRPr="00F13092">
        <w:rPr>
          <w:lang w:val="en-US"/>
        </w:rPr>
        <w:t xml:space="preserve"> Asia.  This forms the basis of the antenatal screening algorithm.</w:t>
      </w:r>
      <w:r w:rsidR="004A3757">
        <w:rPr>
          <w:lang w:val="en-US"/>
        </w:rPr>
        <w:t xml:space="preserve"> </w:t>
      </w:r>
    </w:p>
    <w:p w14:paraId="2B26C05A" w14:textId="77777777" w:rsidR="00BD61C0" w:rsidRPr="002B4E85" w:rsidRDefault="00F13092" w:rsidP="008703D0">
      <w:pPr>
        <w:jc w:val="both"/>
        <w:rPr>
          <w:u w:val="single"/>
        </w:rPr>
      </w:pPr>
      <w:r w:rsidRPr="002B4E85">
        <w:rPr>
          <w:b/>
          <w:bCs/>
          <w:u w:val="single"/>
          <w:lang w:val="en-US"/>
        </w:rPr>
        <w:t xml:space="preserve">Issue of alpha </w:t>
      </w:r>
      <w:proofErr w:type="spellStart"/>
      <w:r w:rsidRPr="002B4E85">
        <w:rPr>
          <w:b/>
          <w:bCs/>
          <w:u w:val="single"/>
          <w:lang w:val="en-US"/>
        </w:rPr>
        <w:t>thalassaemia</w:t>
      </w:r>
      <w:proofErr w:type="spellEnd"/>
      <w:r w:rsidRPr="002B4E85">
        <w:rPr>
          <w:b/>
          <w:bCs/>
          <w:u w:val="single"/>
          <w:lang w:val="en-US"/>
        </w:rPr>
        <w:t xml:space="preserve"> reports</w:t>
      </w:r>
    </w:p>
    <w:p w14:paraId="08ADFD10" w14:textId="79172FB6" w:rsidR="00F13092" w:rsidRPr="00F13092" w:rsidRDefault="00F13092" w:rsidP="008703D0">
      <w:pPr>
        <w:jc w:val="both"/>
      </w:pPr>
      <w:r w:rsidRPr="00F13092">
        <w:rPr>
          <w:lang w:val="en-US"/>
        </w:rPr>
        <w:t xml:space="preserve">Possible alpha </w:t>
      </w:r>
      <w:proofErr w:type="spellStart"/>
      <w:r w:rsidRPr="00F13092">
        <w:rPr>
          <w:lang w:val="en-US"/>
        </w:rPr>
        <w:t>thalassaemia</w:t>
      </w:r>
      <w:proofErr w:type="spellEnd"/>
      <w:r w:rsidRPr="00F13092">
        <w:rPr>
          <w:lang w:val="en-US"/>
        </w:rPr>
        <w:t xml:space="preserve"> may be picked up on routine testing or </w:t>
      </w:r>
      <w:proofErr w:type="gramStart"/>
      <w:r w:rsidRPr="00F13092">
        <w:rPr>
          <w:lang w:val="en-US"/>
        </w:rPr>
        <w:t>in the course of</w:t>
      </w:r>
      <w:proofErr w:type="gramEnd"/>
      <w:r w:rsidRPr="00F13092">
        <w:rPr>
          <w:lang w:val="en-US"/>
        </w:rPr>
        <w:t xml:space="preserve"> screening for </w:t>
      </w:r>
      <w:proofErr w:type="spellStart"/>
      <w:r w:rsidRPr="00F13092">
        <w:rPr>
          <w:lang w:val="en-US"/>
        </w:rPr>
        <w:t>haemoglobin</w:t>
      </w:r>
      <w:proofErr w:type="spellEnd"/>
      <w:r w:rsidRPr="00F13092">
        <w:rPr>
          <w:lang w:val="en-US"/>
        </w:rPr>
        <w:t xml:space="preserve"> disorders.  In the antenatal or pre-conceptual counselling context, the national screening algorithm will dictate those women for whom partner screening is indicated.  This will be </w:t>
      </w:r>
      <w:proofErr w:type="gramStart"/>
      <w:r w:rsidRPr="00F13092">
        <w:rPr>
          <w:lang w:val="en-US"/>
        </w:rPr>
        <w:t>on the basis of</w:t>
      </w:r>
      <w:proofErr w:type="gramEnd"/>
      <w:r w:rsidRPr="00F13092">
        <w:rPr>
          <w:lang w:val="en-US"/>
        </w:rPr>
        <w:t xml:space="preserve"> blood results and that woman’s ethnic origin.   Partner screening is indicated if the woman’s MCH is &lt; 25pg and she comes from a </w:t>
      </w:r>
      <w:proofErr w:type="spellStart"/>
      <w:r w:rsidRPr="00F13092">
        <w:rPr>
          <w:lang w:val="en-US"/>
        </w:rPr>
        <w:t>highrisk</w:t>
      </w:r>
      <w:proofErr w:type="spellEnd"/>
      <w:r w:rsidRPr="00F13092">
        <w:rPr>
          <w:lang w:val="en-US"/>
        </w:rPr>
        <w:t xml:space="preserve"> ethnic group.   Partner testing will be arranged by the screening midwife in the ANC. </w:t>
      </w:r>
      <w:r w:rsidR="00557CFB">
        <w:rPr>
          <w:lang w:val="en-US"/>
        </w:rPr>
        <w:t xml:space="preserve">Please contact Manchester Sickle Cell and Thalassaemia Centre for </w:t>
      </w:r>
      <w:r w:rsidR="00BD61C0">
        <w:rPr>
          <w:lang w:val="en-US"/>
        </w:rPr>
        <w:t xml:space="preserve">advice </w:t>
      </w:r>
      <w:r w:rsidR="00557CFB">
        <w:rPr>
          <w:lang w:val="en-US"/>
        </w:rPr>
        <w:t>if</w:t>
      </w:r>
      <w:r w:rsidR="00BD61C0">
        <w:rPr>
          <w:lang w:val="en-US"/>
        </w:rPr>
        <w:t xml:space="preserve"> pre-conceptual partner testing</w:t>
      </w:r>
      <w:r w:rsidR="00557CFB">
        <w:rPr>
          <w:lang w:val="en-US"/>
        </w:rPr>
        <w:t xml:space="preserve"> is recommended</w:t>
      </w:r>
      <w:r w:rsidR="00BD61C0">
        <w:rPr>
          <w:lang w:val="en-US"/>
        </w:rPr>
        <w:t>.</w:t>
      </w:r>
    </w:p>
    <w:p w14:paraId="15D2036A" w14:textId="77777777" w:rsidR="00BD61C0" w:rsidRDefault="00F13092" w:rsidP="008703D0">
      <w:pPr>
        <w:jc w:val="both"/>
      </w:pPr>
      <w:r w:rsidRPr="00F13092">
        <w:rPr>
          <w:lang w:val="en-US"/>
        </w:rPr>
        <w:t>Outside the antenatal setting, reports may be issued as follows:</w:t>
      </w:r>
    </w:p>
    <w:p w14:paraId="34D9C09E" w14:textId="77777777" w:rsidR="00F13092" w:rsidRPr="00F13092" w:rsidRDefault="00F13092" w:rsidP="008703D0">
      <w:pPr>
        <w:jc w:val="both"/>
      </w:pPr>
      <w:r w:rsidRPr="00F13092">
        <w:rPr>
          <w:b/>
          <w:bCs/>
        </w:rPr>
        <w:t>Suggestive of alpha thalassaemia</w:t>
      </w:r>
      <w:r w:rsidRPr="00F13092">
        <w:t xml:space="preserve"> – This is reported when hypochromic microcytic indices coexist but with normal ferritin levels and haemoglobin electrophoresis.  </w:t>
      </w:r>
    </w:p>
    <w:p w14:paraId="20BF2F56" w14:textId="77777777" w:rsidR="00BC78EF" w:rsidRPr="00BD61C0" w:rsidRDefault="00F13092" w:rsidP="008703D0">
      <w:pPr>
        <w:jc w:val="both"/>
      </w:pPr>
      <w:r w:rsidRPr="00F13092">
        <w:rPr>
          <w:b/>
          <w:bCs/>
        </w:rPr>
        <w:t>Possible alpha thal</w:t>
      </w:r>
      <w:r w:rsidR="00DE08FA">
        <w:rPr>
          <w:b/>
          <w:bCs/>
        </w:rPr>
        <w:t>assaemia/alpha thalassaemia can</w:t>
      </w:r>
      <w:r w:rsidRPr="00F13092">
        <w:rPr>
          <w:b/>
          <w:bCs/>
        </w:rPr>
        <w:t>not be excluded</w:t>
      </w:r>
      <w:r w:rsidRPr="00F13092">
        <w:t xml:space="preserve"> – This will be reported when microcytic hypochromic indices are present, Hb electrophoresis is </w:t>
      </w:r>
      <w:proofErr w:type="gramStart"/>
      <w:r w:rsidRPr="00F13092">
        <w:t>normal</w:t>
      </w:r>
      <w:proofErr w:type="gramEnd"/>
      <w:r w:rsidRPr="00F13092">
        <w:t xml:space="preserve"> but iron levels are not available or are borderline low /unreliable.  In this situation iron levels should be checked if no result available. If iron levels are low or borderline, a short course of iron should be given with repeat blood count after 4 weeks.  If hypochromic microcytic indices persist despite adequate iron </w:t>
      </w:r>
      <w:proofErr w:type="gramStart"/>
      <w:r w:rsidRPr="00F13092">
        <w:t>levels</w:t>
      </w:r>
      <w:proofErr w:type="gramEnd"/>
      <w:r w:rsidRPr="00F13092">
        <w:t xml:space="preserve"> then alpha thalassaemia is likely.  Iron deficiency should be investigated and managed in the usual way.</w:t>
      </w:r>
    </w:p>
    <w:p w14:paraId="6187CA16" w14:textId="77777777" w:rsidR="00DE08FA" w:rsidRPr="00DE08FA" w:rsidRDefault="00DE08FA" w:rsidP="008703D0">
      <w:pPr>
        <w:jc w:val="both"/>
        <w:rPr>
          <w:b/>
          <w:u w:val="single"/>
        </w:rPr>
      </w:pPr>
      <w:r w:rsidRPr="00DE08FA">
        <w:rPr>
          <w:b/>
          <w:u w:val="single"/>
        </w:rPr>
        <w:t>Sickle Cell Carrier Status (Sickle Cell Trait) +/- alpha thalassaemia</w:t>
      </w:r>
    </w:p>
    <w:p w14:paraId="316091A6" w14:textId="279E25A7" w:rsidR="00DE08FA" w:rsidRDefault="00DE08FA" w:rsidP="008703D0">
      <w:pPr>
        <w:jc w:val="both"/>
      </w:pPr>
      <w:r>
        <w:t>Routine or emergency haemoglobinopathy screening will often identify individuals who are carriers for Sickle Cell. Such individuals will have both Hb A and Hb S present in approximately equal quantities, typically around 30-40%, depending on whether they also carry alpha thalassaemia. This is commonly encountered in persons of African</w:t>
      </w:r>
      <w:r w:rsidR="00BD61C0">
        <w:t xml:space="preserve"> </w:t>
      </w:r>
      <w:r>
        <w:t xml:space="preserve">origin since both carrier states have a high prevalence in this region.  Concomitant alpha thalassemia is suspected when microcytic hypochromic indices are present and will act to will lower the % of Hb S relative to Hb A. </w:t>
      </w:r>
      <w:r w:rsidR="00CB10A3">
        <w:t xml:space="preserve">Raised Hb A2 levels are seen in sickle cell carriers and do not indicate coinheritance of beta thalassaemia (see below). </w:t>
      </w:r>
      <w:r>
        <w:t xml:space="preserve"> Iron deficiency should be excluded.  </w:t>
      </w:r>
    </w:p>
    <w:p w14:paraId="60C0571B" w14:textId="0D483ECE" w:rsidR="00DE08FA" w:rsidRDefault="00DE08FA" w:rsidP="008703D0">
      <w:pPr>
        <w:jc w:val="both"/>
      </w:pPr>
      <w:r>
        <w:lastRenderedPageBreak/>
        <w:t xml:space="preserve">Sickle Cell Carriers with or without </w:t>
      </w:r>
      <w:r w:rsidR="00CB10A3">
        <w:t xml:space="preserve">coinheritance of </w:t>
      </w:r>
      <w:r>
        <w:t>alpha thalassaemi</w:t>
      </w:r>
      <w:r w:rsidR="008703D0">
        <w:t xml:space="preserve">a </w:t>
      </w:r>
      <w:r w:rsidR="00F075C0">
        <w:t>do not develop symptoms of Sickle Cell Disease and</w:t>
      </w:r>
      <w:r>
        <w:t xml:space="preserve"> </w:t>
      </w:r>
      <w:r w:rsidRPr="00F075C0">
        <w:rPr>
          <w:b/>
        </w:rPr>
        <w:t>do not need to be followed up in Haematology Clinics</w:t>
      </w:r>
      <w:r>
        <w:t xml:space="preserve">. </w:t>
      </w:r>
      <w:r>
        <w:rPr>
          <w:lang w:val="en-US"/>
        </w:rPr>
        <w:t>However, it is important that individuals receive</w:t>
      </w:r>
      <w:r w:rsidRPr="00F13092">
        <w:rPr>
          <w:lang w:val="en-US"/>
        </w:rPr>
        <w:t xml:space="preserve"> genetic counseling for themselves or other members of their family</w:t>
      </w:r>
      <w:r w:rsidR="00F075C0">
        <w:rPr>
          <w:lang w:val="en-US"/>
        </w:rPr>
        <w:t xml:space="preserve"> in relation to the risk of any offspring inheriting a clinically significant </w:t>
      </w:r>
      <w:r w:rsidR="00CB10A3">
        <w:rPr>
          <w:lang w:val="en-US"/>
        </w:rPr>
        <w:t>disorder</w:t>
      </w:r>
      <w:r w:rsidRPr="00F13092">
        <w:rPr>
          <w:lang w:val="en-US"/>
        </w:rPr>
        <w:t>.</w:t>
      </w:r>
      <w:r>
        <w:rPr>
          <w:lang w:val="en-US"/>
        </w:rPr>
        <w:t xml:space="preserve"> </w:t>
      </w:r>
    </w:p>
    <w:p w14:paraId="4DDAA3CA" w14:textId="77777777" w:rsidR="00DE08FA" w:rsidRPr="00DE08FA" w:rsidRDefault="00DE08FA" w:rsidP="008703D0">
      <w:pPr>
        <w:jc w:val="both"/>
        <w:rPr>
          <w:b/>
          <w:u w:val="single"/>
        </w:rPr>
      </w:pPr>
      <w:r w:rsidRPr="00DE08FA">
        <w:rPr>
          <w:b/>
          <w:u w:val="single"/>
        </w:rPr>
        <w:t>Sickle Cell Beta Thalassaemia</w:t>
      </w:r>
    </w:p>
    <w:p w14:paraId="57CA5552" w14:textId="77777777" w:rsidR="004322F3" w:rsidRDefault="00DE08FA" w:rsidP="008703D0">
      <w:pPr>
        <w:jc w:val="both"/>
      </w:pPr>
      <w:r>
        <w:t xml:space="preserve">Coinheritance of sickle cell and beta thalassaemia typically produces Hb S levels greater than HB A. </w:t>
      </w:r>
      <w:r w:rsidRPr="00F075C0">
        <w:rPr>
          <w:b/>
        </w:rPr>
        <w:t xml:space="preserve">Such individuals may have mild to </w:t>
      </w:r>
      <w:r w:rsidR="00EA4A3E">
        <w:rPr>
          <w:b/>
        </w:rPr>
        <w:t>severe</w:t>
      </w:r>
      <w:r w:rsidRPr="00F075C0">
        <w:rPr>
          <w:b/>
        </w:rPr>
        <w:t xml:space="preserve"> sickle cell disease and require clinical follow up. Please refer to the haemoglobinopathy clinic</w:t>
      </w:r>
      <w:r w:rsidR="00BC78EF">
        <w:rPr>
          <w:b/>
        </w:rPr>
        <w:t>.</w:t>
      </w:r>
    </w:p>
    <w:sectPr w:rsidR="004322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FA33" w14:textId="77777777" w:rsidR="00A43075" w:rsidRDefault="00A43075" w:rsidP="00A43075">
      <w:pPr>
        <w:spacing w:after="0" w:line="240" w:lineRule="auto"/>
      </w:pPr>
      <w:r>
        <w:separator/>
      </w:r>
    </w:p>
  </w:endnote>
  <w:endnote w:type="continuationSeparator" w:id="0">
    <w:p w14:paraId="580FBCA0" w14:textId="77777777" w:rsidR="00A43075" w:rsidRDefault="00A43075" w:rsidP="00A4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47138"/>
      <w:docPartObj>
        <w:docPartGallery w:val="Page Numbers (Bottom of Page)"/>
        <w:docPartUnique/>
      </w:docPartObj>
    </w:sdtPr>
    <w:sdtEndPr>
      <w:rPr>
        <w:noProof/>
      </w:rPr>
    </w:sdtEndPr>
    <w:sdtContent>
      <w:p w14:paraId="72637616" w14:textId="122CBD8F" w:rsidR="008703D0" w:rsidRDefault="00870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AE5F13" w14:textId="50B721A2" w:rsidR="008703D0" w:rsidRDefault="00FC1D3A">
    <w:pPr>
      <w:pStyle w:val="Footer"/>
    </w:pPr>
    <w:r>
      <w:t>7.3.2023</w:t>
    </w:r>
  </w:p>
  <w:p w14:paraId="1C922C9B" w14:textId="3AD22E10" w:rsidR="00FC1D3A" w:rsidRDefault="00FC1D3A">
    <w:pPr>
      <w:pStyle w:val="Footer"/>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28EC" w14:textId="77777777" w:rsidR="00A43075" w:rsidRDefault="00A43075" w:rsidP="00A43075">
      <w:pPr>
        <w:spacing w:after="0" w:line="240" w:lineRule="auto"/>
      </w:pPr>
      <w:r>
        <w:separator/>
      </w:r>
    </w:p>
  </w:footnote>
  <w:footnote w:type="continuationSeparator" w:id="0">
    <w:p w14:paraId="41FD170A" w14:textId="77777777" w:rsidR="00A43075" w:rsidRDefault="00A43075" w:rsidP="00A43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C3D5" w14:textId="28A44BEE" w:rsidR="00A43075" w:rsidRDefault="00A43075">
    <w:pPr>
      <w:pStyle w:val="Header"/>
    </w:pPr>
    <w:r>
      <w:rPr>
        <w:noProof/>
      </w:rPr>
      <w:drawing>
        <wp:anchor distT="0" distB="0" distL="114300" distR="114300" simplePos="0" relativeHeight="251660288" behindDoc="1" locked="0" layoutInCell="1" allowOverlap="1" wp14:anchorId="43197108" wp14:editId="392C703C">
          <wp:simplePos x="0" y="0"/>
          <wp:positionH relativeFrom="column">
            <wp:posOffset>-409575</wp:posOffset>
          </wp:positionH>
          <wp:positionV relativeFrom="paragraph">
            <wp:posOffset>-150495</wp:posOffset>
          </wp:positionV>
          <wp:extent cx="1543050" cy="472440"/>
          <wp:effectExtent l="0" t="0" r="0" b="3810"/>
          <wp:wrapTight wrapText="bothSides">
            <wp:wrapPolygon edited="0">
              <wp:start x="0" y="0"/>
              <wp:lineTo x="0" y="20903"/>
              <wp:lineTo x="21333" y="20903"/>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7244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170231B0" wp14:editId="2154974C">
          <wp:simplePos x="0" y="0"/>
          <wp:positionH relativeFrom="column">
            <wp:posOffset>1438275</wp:posOffset>
          </wp:positionH>
          <wp:positionV relativeFrom="paragraph">
            <wp:posOffset>-164465</wp:posOffset>
          </wp:positionV>
          <wp:extent cx="2172335" cy="457200"/>
          <wp:effectExtent l="0" t="0" r="0" b="0"/>
          <wp:wrapTight wrapText="bothSides">
            <wp:wrapPolygon edited="0">
              <wp:start x="947" y="0"/>
              <wp:lineTo x="0" y="4500"/>
              <wp:lineTo x="0" y="16200"/>
              <wp:lineTo x="947" y="20700"/>
              <wp:lineTo x="3410" y="20700"/>
              <wp:lineTo x="21404" y="20700"/>
              <wp:lineTo x="21404" y="1800"/>
              <wp:lineTo x="3410" y="0"/>
              <wp:lineTo x="9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C442B3" wp14:editId="70151595">
          <wp:simplePos x="0" y="0"/>
          <wp:positionH relativeFrom="page">
            <wp:posOffset>4752975</wp:posOffset>
          </wp:positionH>
          <wp:positionV relativeFrom="paragraph">
            <wp:posOffset>-211455</wp:posOffset>
          </wp:positionV>
          <wp:extent cx="2657475" cy="504190"/>
          <wp:effectExtent l="0" t="0" r="9525" b="0"/>
          <wp:wrapTight wrapText="bothSides">
            <wp:wrapPolygon edited="0">
              <wp:start x="0" y="0"/>
              <wp:lineTo x="0" y="20403"/>
              <wp:lineTo x="21523" y="20403"/>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9923"/>
                  <a:stretch/>
                </pic:blipFill>
                <pic:spPr bwMode="auto">
                  <a:xfrm>
                    <a:off x="0" y="0"/>
                    <a:ext cx="2657475" cy="504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377"/>
    <w:multiLevelType w:val="hybridMultilevel"/>
    <w:tmpl w:val="DD4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6112"/>
    <w:multiLevelType w:val="hybridMultilevel"/>
    <w:tmpl w:val="6EE0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D2502"/>
    <w:multiLevelType w:val="hybridMultilevel"/>
    <w:tmpl w:val="F87A2B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763C82"/>
    <w:multiLevelType w:val="hybridMultilevel"/>
    <w:tmpl w:val="13006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80D2F"/>
    <w:multiLevelType w:val="hybridMultilevel"/>
    <w:tmpl w:val="D3FC0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165F8C"/>
    <w:multiLevelType w:val="hybridMultilevel"/>
    <w:tmpl w:val="87E857A0"/>
    <w:lvl w:ilvl="0" w:tplc="FCBA23D4">
      <w:start w:val="1"/>
      <w:numFmt w:val="decimal"/>
      <w:lvlText w:val="%1."/>
      <w:lvlJc w:val="left"/>
      <w:pPr>
        <w:tabs>
          <w:tab w:val="num" w:pos="720"/>
        </w:tabs>
        <w:ind w:left="720" w:hanging="360"/>
      </w:pPr>
    </w:lvl>
    <w:lvl w:ilvl="1" w:tplc="BDE6916C">
      <w:start w:val="1"/>
      <w:numFmt w:val="decimal"/>
      <w:lvlText w:val="%2."/>
      <w:lvlJc w:val="left"/>
      <w:pPr>
        <w:tabs>
          <w:tab w:val="num" w:pos="1440"/>
        </w:tabs>
        <w:ind w:left="1440" w:hanging="360"/>
      </w:pPr>
    </w:lvl>
    <w:lvl w:ilvl="2" w:tplc="84A2A8F2" w:tentative="1">
      <w:start w:val="1"/>
      <w:numFmt w:val="decimal"/>
      <w:lvlText w:val="%3."/>
      <w:lvlJc w:val="left"/>
      <w:pPr>
        <w:tabs>
          <w:tab w:val="num" w:pos="2160"/>
        </w:tabs>
        <w:ind w:left="2160" w:hanging="360"/>
      </w:pPr>
    </w:lvl>
    <w:lvl w:ilvl="3" w:tplc="BEC06E42" w:tentative="1">
      <w:start w:val="1"/>
      <w:numFmt w:val="decimal"/>
      <w:lvlText w:val="%4."/>
      <w:lvlJc w:val="left"/>
      <w:pPr>
        <w:tabs>
          <w:tab w:val="num" w:pos="2880"/>
        </w:tabs>
        <w:ind w:left="2880" w:hanging="360"/>
      </w:pPr>
    </w:lvl>
    <w:lvl w:ilvl="4" w:tplc="4C6C2558" w:tentative="1">
      <w:start w:val="1"/>
      <w:numFmt w:val="decimal"/>
      <w:lvlText w:val="%5."/>
      <w:lvlJc w:val="left"/>
      <w:pPr>
        <w:tabs>
          <w:tab w:val="num" w:pos="3600"/>
        </w:tabs>
        <w:ind w:left="3600" w:hanging="360"/>
      </w:pPr>
    </w:lvl>
    <w:lvl w:ilvl="5" w:tplc="FABCAD14" w:tentative="1">
      <w:start w:val="1"/>
      <w:numFmt w:val="decimal"/>
      <w:lvlText w:val="%6."/>
      <w:lvlJc w:val="left"/>
      <w:pPr>
        <w:tabs>
          <w:tab w:val="num" w:pos="4320"/>
        </w:tabs>
        <w:ind w:left="4320" w:hanging="360"/>
      </w:pPr>
    </w:lvl>
    <w:lvl w:ilvl="6" w:tplc="46546338" w:tentative="1">
      <w:start w:val="1"/>
      <w:numFmt w:val="decimal"/>
      <w:lvlText w:val="%7."/>
      <w:lvlJc w:val="left"/>
      <w:pPr>
        <w:tabs>
          <w:tab w:val="num" w:pos="5040"/>
        </w:tabs>
        <w:ind w:left="5040" w:hanging="360"/>
      </w:pPr>
    </w:lvl>
    <w:lvl w:ilvl="7" w:tplc="E948F310" w:tentative="1">
      <w:start w:val="1"/>
      <w:numFmt w:val="decimal"/>
      <w:lvlText w:val="%8."/>
      <w:lvlJc w:val="left"/>
      <w:pPr>
        <w:tabs>
          <w:tab w:val="num" w:pos="5760"/>
        </w:tabs>
        <w:ind w:left="5760" w:hanging="360"/>
      </w:pPr>
    </w:lvl>
    <w:lvl w:ilvl="8" w:tplc="2F6A6B40" w:tentative="1">
      <w:start w:val="1"/>
      <w:numFmt w:val="decimal"/>
      <w:lvlText w:val="%9."/>
      <w:lvlJc w:val="left"/>
      <w:pPr>
        <w:tabs>
          <w:tab w:val="num" w:pos="6480"/>
        </w:tabs>
        <w:ind w:left="6480" w:hanging="360"/>
      </w:pPr>
    </w:lvl>
  </w:abstractNum>
  <w:abstractNum w:abstractNumId="6" w15:restartNumberingAfterBreak="0">
    <w:nsid w:val="4EED15EC"/>
    <w:multiLevelType w:val="hybridMultilevel"/>
    <w:tmpl w:val="8844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10424"/>
    <w:multiLevelType w:val="hybridMultilevel"/>
    <w:tmpl w:val="111A932A"/>
    <w:lvl w:ilvl="0" w:tplc="395A92BA">
      <w:start w:val="1"/>
      <w:numFmt w:val="bullet"/>
      <w:lvlText w:val="•"/>
      <w:lvlJc w:val="left"/>
      <w:pPr>
        <w:tabs>
          <w:tab w:val="num" w:pos="720"/>
        </w:tabs>
        <w:ind w:left="720" w:hanging="360"/>
      </w:pPr>
      <w:rPr>
        <w:rFonts w:ascii="Times New Roman" w:hAnsi="Times New Roman" w:hint="default"/>
      </w:rPr>
    </w:lvl>
    <w:lvl w:ilvl="1" w:tplc="4FE6951A" w:tentative="1">
      <w:start w:val="1"/>
      <w:numFmt w:val="bullet"/>
      <w:lvlText w:val="•"/>
      <w:lvlJc w:val="left"/>
      <w:pPr>
        <w:tabs>
          <w:tab w:val="num" w:pos="1440"/>
        </w:tabs>
        <w:ind w:left="1440" w:hanging="360"/>
      </w:pPr>
      <w:rPr>
        <w:rFonts w:ascii="Times New Roman" w:hAnsi="Times New Roman" w:hint="default"/>
      </w:rPr>
    </w:lvl>
    <w:lvl w:ilvl="2" w:tplc="886AAAC4" w:tentative="1">
      <w:start w:val="1"/>
      <w:numFmt w:val="bullet"/>
      <w:lvlText w:val="•"/>
      <w:lvlJc w:val="left"/>
      <w:pPr>
        <w:tabs>
          <w:tab w:val="num" w:pos="2160"/>
        </w:tabs>
        <w:ind w:left="2160" w:hanging="360"/>
      </w:pPr>
      <w:rPr>
        <w:rFonts w:ascii="Times New Roman" w:hAnsi="Times New Roman" w:hint="default"/>
      </w:rPr>
    </w:lvl>
    <w:lvl w:ilvl="3" w:tplc="C29EE210" w:tentative="1">
      <w:start w:val="1"/>
      <w:numFmt w:val="bullet"/>
      <w:lvlText w:val="•"/>
      <w:lvlJc w:val="left"/>
      <w:pPr>
        <w:tabs>
          <w:tab w:val="num" w:pos="2880"/>
        </w:tabs>
        <w:ind w:left="2880" w:hanging="360"/>
      </w:pPr>
      <w:rPr>
        <w:rFonts w:ascii="Times New Roman" w:hAnsi="Times New Roman" w:hint="default"/>
      </w:rPr>
    </w:lvl>
    <w:lvl w:ilvl="4" w:tplc="016873C2" w:tentative="1">
      <w:start w:val="1"/>
      <w:numFmt w:val="bullet"/>
      <w:lvlText w:val="•"/>
      <w:lvlJc w:val="left"/>
      <w:pPr>
        <w:tabs>
          <w:tab w:val="num" w:pos="3600"/>
        </w:tabs>
        <w:ind w:left="3600" w:hanging="360"/>
      </w:pPr>
      <w:rPr>
        <w:rFonts w:ascii="Times New Roman" w:hAnsi="Times New Roman" w:hint="default"/>
      </w:rPr>
    </w:lvl>
    <w:lvl w:ilvl="5" w:tplc="5D1E9EF0" w:tentative="1">
      <w:start w:val="1"/>
      <w:numFmt w:val="bullet"/>
      <w:lvlText w:val="•"/>
      <w:lvlJc w:val="left"/>
      <w:pPr>
        <w:tabs>
          <w:tab w:val="num" w:pos="4320"/>
        </w:tabs>
        <w:ind w:left="4320" w:hanging="360"/>
      </w:pPr>
      <w:rPr>
        <w:rFonts w:ascii="Times New Roman" w:hAnsi="Times New Roman" w:hint="default"/>
      </w:rPr>
    </w:lvl>
    <w:lvl w:ilvl="6" w:tplc="094AA802" w:tentative="1">
      <w:start w:val="1"/>
      <w:numFmt w:val="bullet"/>
      <w:lvlText w:val="•"/>
      <w:lvlJc w:val="left"/>
      <w:pPr>
        <w:tabs>
          <w:tab w:val="num" w:pos="5040"/>
        </w:tabs>
        <w:ind w:left="5040" w:hanging="360"/>
      </w:pPr>
      <w:rPr>
        <w:rFonts w:ascii="Times New Roman" w:hAnsi="Times New Roman" w:hint="default"/>
      </w:rPr>
    </w:lvl>
    <w:lvl w:ilvl="7" w:tplc="D27C7880" w:tentative="1">
      <w:start w:val="1"/>
      <w:numFmt w:val="bullet"/>
      <w:lvlText w:val="•"/>
      <w:lvlJc w:val="left"/>
      <w:pPr>
        <w:tabs>
          <w:tab w:val="num" w:pos="5760"/>
        </w:tabs>
        <w:ind w:left="5760" w:hanging="360"/>
      </w:pPr>
      <w:rPr>
        <w:rFonts w:ascii="Times New Roman" w:hAnsi="Times New Roman" w:hint="default"/>
      </w:rPr>
    </w:lvl>
    <w:lvl w:ilvl="8" w:tplc="26B43B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BF462E"/>
    <w:multiLevelType w:val="hybridMultilevel"/>
    <w:tmpl w:val="3D1CA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029211">
    <w:abstractNumId w:val="5"/>
  </w:num>
  <w:num w:numId="2" w16cid:durableId="1919557028">
    <w:abstractNumId w:val="7"/>
  </w:num>
  <w:num w:numId="3" w16cid:durableId="928075902">
    <w:abstractNumId w:val="0"/>
  </w:num>
  <w:num w:numId="4" w16cid:durableId="756754366">
    <w:abstractNumId w:val="4"/>
  </w:num>
  <w:num w:numId="5" w16cid:durableId="274338388">
    <w:abstractNumId w:val="3"/>
  </w:num>
  <w:num w:numId="6" w16cid:durableId="1769501985">
    <w:abstractNumId w:val="2"/>
  </w:num>
  <w:num w:numId="7" w16cid:durableId="1328091145">
    <w:abstractNumId w:val="8"/>
  </w:num>
  <w:num w:numId="8" w16cid:durableId="508642653">
    <w:abstractNumId w:val="1"/>
  </w:num>
  <w:num w:numId="9" w16cid:durableId="941835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92"/>
    <w:rsid w:val="00000F31"/>
    <w:rsid w:val="000103D7"/>
    <w:rsid w:val="0005203D"/>
    <w:rsid w:val="00273DE5"/>
    <w:rsid w:val="002B4E85"/>
    <w:rsid w:val="002C58E7"/>
    <w:rsid w:val="002F0F9C"/>
    <w:rsid w:val="003E053F"/>
    <w:rsid w:val="004322F3"/>
    <w:rsid w:val="004634FA"/>
    <w:rsid w:val="00486BA6"/>
    <w:rsid w:val="004A3757"/>
    <w:rsid w:val="00557CFB"/>
    <w:rsid w:val="00646EC3"/>
    <w:rsid w:val="007A7B23"/>
    <w:rsid w:val="008703D0"/>
    <w:rsid w:val="00934DD0"/>
    <w:rsid w:val="00973A08"/>
    <w:rsid w:val="00992346"/>
    <w:rsid w:val="00A43075"/>
    <w:rsid w:val="00BC78EF"/>
    <w:rsid w:val="00BD61C0"/>
    <w:rsid w:val="00BF3313"/>
    <w:rsid w:val="00CB10A3"/>
    <w:rsid w:val="00CC42C2"/>
    <w:rsid w:val="00DE08FA"/>
    <w:rsid w:val="00DE1B7D"/>
    <w:rsid w:val="00EA4A3E"/>
    <w:rsid w:val="00F075C0"/>
    <w:rsid w:val="00F13092"/>
    <w:rsid w:val="00F53AE6"/>
    <w:rsid w:val="00F90A70"/>
    <w:rsid w:val="00FC18D5"/>
    <w:rsid w:val="00FC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45DF0"/>
  <w15:docId w15:val="{71227708-A68E-43CC-9D67-1169BF06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092"/>
    <w:rPr>
      <w:color w:val="0000FF" w:themeColor="hyperlink"/>
      <w:u w:val="single"/>
    </w:rPr>
  </w:style>
  <w:style w:type="character" w:styleId="CommentReference">
    <w:name w:val="annotation reference"/>
    <w:basedOn w:val="DefaultParagraphFont"/>
    <w:uiPriority w:val="99"/>
    <w:semiHidden/>
    <w:unhideWhenUsed/>
    <w:rsid w:val="000103D7"/>
    <w:rPr>
      <w:sz w:val="16"/>
      <w:szCs w:val="16"/>
    </w:rPr>
  </w:style>
  <w:style w:type="paragraph" w:styleId="CommentText">
    <w:name w:val="annotation text"/>
    <w:basedOn w:val="Normal"/>
    <w:link w:val="CommentTextChar"/>
    <w:uiPriority w:val="99"/>
    <w:semiHidden/>
    <w:unhideWhenUsed/>
    <w:rsid w:val="000103D7"/>
    <w:pPr>
      <w:spacing w:line="240" w:lineRule="auto"/>
    </w:pPr>
    <w:rPr>
      <w:sz w:val="20"/>
      <w:szCs w:val="20"/>
    </w:rPr>
  </w:style>
  <w:style w:type="character" w:customStyle="1" w:styleId="CommentTextChar">
    <w:name w:val="Comment Text Char"/>
    <w:basedOn w:val="DefaultParagraphFont"/>
    <w:link w:val="CommentText"/>
    <w:uiPriority w:val="99"/>
    <w:semiHidden/>
    <w:rsid w:val="000103D7"/>
    <w:rPr>
      <w:sz w:val="20"/>
      <w:szCs w:val="20"/>
    </w:rPr>
  </w:style>
  <w:style w:type="paragraph" w:styleId="CommentSubject">
    <w:name w:val="annotation subject"/>
    <w:basedOn w:val="CommentText"/>
    <w:next w:val="CommentText"/>
    <w:link w:val="CommentSubjectChar"/>
    <w:uiPriority w:val="99"/>
    <w:semiHidden/>
    <w:unhideWhenUsed/>
    <w:rsid w:val="000103D7"/>
    <w:rPr>
      <w:b/>
      <w:bCs/>
    </w:rPr>
  </w:style>
  <w:style w:type="character" w:customStyle="1" w:styleId="CommentSubjectChar">
    <w:name w:val="Comment Subject Char"/>
    <w:basedOn w:val="CommentTextChar"/>
    <w:link w:val="CommentSubject"/>
    <w:uiPriority w:val="99"/>
    <w:semiHidden/>
    <w:rsid w:val="000103D7"/>
    <w:rPr>
      <w:b/>
      <w:bCs/>
      <w:sz w:val="20"/>
      <w:szCs w:val="20"/>
    </w:rPr>
  </w:style>
  <w:style w:type="paragraph" w:styleId="BalloonText">
    <w:name w:val="Balloon Text"/>
    <w:basedOn w:val="Normal"/>
    <w:link w:val="BalloonTextChar"/>
    <w:uiPriority w:val="99"/>
    <w:semiHidden/>
    <w:unhideWhenUsed/>
    <w:rsid w:val="0001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D7"/>
    <w:rPr>
      <w:rFonts w:ascii="Tahoma" w:hAnsi="Tahoma" w:cs="Tahoma"/>
      <w:sz w:val="16"/>
      <w:szCs w:val="16"/>
    </w:rPr>
  </w:style>
  <w:style w:type="paragraph" w:styleId="PlainText">
    <w:name w:val="Plain Text"/>
    <w:basedOn w:val="Normal"/>
    <w:link w:val="PlainTextChar"/>
    <w:uiPriority w:val="99"/>
    <w:unhideWhenUsed/>
    <w:rsid w:val="002C58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C58E7"/>
    <w:rPr>
      <w:rFonts w:ascii="Calibri" w:hAnsi="Calibri"/>
      <w:szCs w:val="21"/>
    </w:rPr>
  </w:style>
  <w:style w:type="paragraph" w:styleId="ListParagraph">
    <w:name w:val="List Paragraph"/>
    <w:basedOn w:val="Normal"/>
    <w:uiPriority w:val="34"/>
    <w:qFormat/>
    <w:rsid w:val="002C58E7"/>
    <w:pPr>
      <w:ind w:left="720"/>
      <w:contextualSpacing/>
    </w:pPr>
  </w:style>
  <w:style w:type="character" w:styleId="UnresolvedMention">
    <w:name w:val="Unresolved Mention"/>
    <w:basedOn w:val="DefaultParagraphFont"/>
    <w:uiPriority w:val="99"/>
    <w:semiHidden/>
    <w:unhideWhenUsed/>
    <w:rsid w:val="004A3757"/>
    <w:rPr>
      <w:color w:val="605E5C"/>
      <w:shd w:val="clear" w:color="auto" w:fill="E1DFDD"/>
    </w:rPr>
  </w:style>
  <w:style w:type="character" w:styleId="FollowedHyperlink">
    <w:name w:val="FollowedHyperlink"/>
    <w:basedOn w:val="DefaultParagraphFont"/>
    <w:uiPriority w:val="99"/>
    <w:semiHidden/>
    <w:unhideWhenUsed/>
    <w:rsid w:val="004A3757"/>
    <w:rPr>
      <w:color w:val="800080" w:themeColor="followedHyperlink"/>
      <w:u w:val="single"/>
    </w:rPr>
  </w:style>
  <w:style w:type="paragraph" w:styleId="Header">
    <w:name w:val="header"/>
    <w:basedOn w:val="Normal"/>
    <w:link w:val="HeaderChar"/>
    <w:uiPriority w:val="99"/>
    <w:unhideWhenUsed/>
    <w:rsid w:val="00A43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75"/>
  </w:style>
  <w:style w:type="paragraph" w:styleId="Footer">
    <w:name w:val="footer"/>
    <w:basedOn w:val="Normal"/>
    <w:link w:val="FooterChar"/>
    <w:uiPriority w:val="99"/>
    <w:unhideWhenUsed/>
    <w:rsid w:val="00A43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4924">
      <w:bodyDiv w:val="1"/>
      <w:marLeft w:val="0"/>
      <w:marRight w:val="0"/>
      <w:marTop w:val="0"/>
      <w:marBottom w:val="0"/>
      <w:divBdr>
        <w:top w:val="none" w:sz="0" w:space="0" w:color="auto"/>
        <w:left w:val="none" w:sz="0" w:space="0" w:color="auto"/>
        <w:bottom w:val="none" w:sz="0" w:space="0" w:color="auto"/>
        <w:right w:val="none" w:sz="0" w:space="0" w:color="auto"/>
      </w:divBdr>
    </w:div>
    <w:div w:id="1179663981">
      <w:bodyDiv w:val="1"/>
      <w:marLeft w:val="0"/>
      <w:marRight w:val="0"/>
      <w:marTop w:val="0"/>
      <w:marBottom w:val="0"/>
      <w:divBdr>
        <w:top w:val="none" w:sz="0" w:space="0" w:color="auto"/>
        <w:left w:val="none" w:sz="0" w:space="0" w:color="auto"/>
        <w:bottom w:val="none" w:sz="0" w:space="0" w:color="auto"/>
        <w:right w:val="none" w:sz="0" w:space="0" w:color="auto"/>
      </w:divBdr>
      <w:divsChild>
        <w:div w:id="17128236">
          <w:marLeft w:val="1296"/>
          <w:marRight w:val="0"/>
          <w:marTop w:val="58"/>
          <w:marBottom w:val="0"/>
          <w:divBdr>
            <w:top w:val="none" w:sz="0" w:space="0" w:color="auto"/>
            <w:left w:val="none" w:sz="0" w:space="0" w:color="auto"/>
            <w:bottom w:val="none" w:sz="0" w:space="0" w:color="auto"/>
            <w:right w:val="none" w:sz="0" w:space="0" w:color="auto"/>
          </w:divBdr>
        </w:div>
        <w:div w:id="1075667811">
          <w:marLeft w:val="1296"/>
          <w:marRight w:val="0"/>
          <w:marTop w:val="58"/>
          <w:marBottom w:val="0"/>
          <w:divBdr>
            <w:top w:val="none" w:sz="0" w:space="0" w:color="auto"/>
            <w:left w:val="none" w:sz="0" w:space="0" w:color="auto"/>
            <w:bottom w:val="none" w:sz="0" w:space="0" w:color="auto"/>
            <w:right w:val="none" w:sz="0" w:space="0" w:color="auto"/>
          </w:divBdr>
        </w:div>
        <w:div w:id="876427010">
          <w:marLeft w:val="1296"/>
          <w:marRight w:val="0"/>
          <w:marTop w:val="58"/>
          <w:marBottom w:val="0"/>
          <w:divBdr>
            <w:top w:val="none" w:sz="0" w:space="0" w:color="auto"/>
            <w:left w:val="none" w:sz="0" w:space="0" w:color="auto"/>
            <w:bottom w:val="none" w:sz="0" w:space="0" w:color="auto"/>
            <w:right w:val="none" w:sz="0" w:space="0" w:color="auto"/>
          </w:divBdr>
        </w:div>
        <w:div w:id="644549416">
          <w:marLeft w:val="1296"/>
          <w:marRight w:val="0"/>
          <w:marTop w:val="58"/>
          <w:marBottom w:val="0"/>
          <w:divBdr>
            <w:top w:val="none" w:sz="0" w:space="0" w:color="auto"/>
            <w:left w:val="none" w:sz="0" w:space="0" w:color="auto"/>
            <w:bottom w:val="none" w:sz="0" w:space="0" w:color="auto"/>
            <w:right w:val="none" w:sz="0" w:space="0" w:color="auto"/>
          </w:divBdr>
        </w:div>
        <w:div w:id="1972860739">
          <w:marLeft w:val="1296"/>
          <w:marRight w:val="0"/>
          <w:marTop w:val="58"/>
          <w:marBottom w:val="0"/>
          <w:divBdr>
            <w:top w:val="none" w:sz="0" w:space="0" w:color="auto"/>
            <w:left w:val="none" w:sz="0" w:space="0" w:color="auto"/>
            <w:bottom w:val="none" w:sz="0" w:space="0" w:color="auto"/>
            <w:right w:val="none" w:sz="0" w:space="0" w:color="auto"/>
          </w:divBdr>
        </w:div>
        <w:div w:id="1880317778">
          <w:marLeft w:val="274"/>
          <w:marRight w:val="0"/>
          <w:marTop w:val="58"/>
          <w:marBottom w:val="0"/>
          <w:divBdr>
            <w:top w:val="none" w:sz="0" w:space="0" w:color="auto"/>
            <w:left w:val="none" w:sz="0" w:space="0" w:color="auto"/>
            <w:bottom w:val="none" w:sz="0" w:space="0" w:color="auto"/>
            <w:right w:val="none" w:sz="0" w:space="0" w:color="auto"/>
          </w:divBdr>
        </w:div>
        <w:div w:id="1757826118">
          <w:marLeft w:val="274"/>
          <w:marRight w:val="0"/>
          <w:marTop w:val="58"/>
          <w:marBottom w:val="0"/>
          <w:divBdr>
            <w:top w:val="none" w:sz="0" w:space="0" w:color="auto"/>
            <w:left w:val="none" w:sz="0" w:space="0" w:color="auto"/>
            <w:bottom w:val="none" w:sz="0" w:space="0" w:color="auto"/>
            <w:right w:val="none" w:sz="0" w:space="0" w:color="auto"/>
          </w:divBdr>
        </w:div>
      </w:divsChild>
    </w:div>
    <w:div w:id="21019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screening.blog.gov.uk/2020/02/19/sct-genetic-counsell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sickle-cell-and-thalassaemia-screening-programme-overview" TargetMode="External"/><Relationship Id="rId12" Type="http://schemas.openxmlformats.org/officeDocument/2006/relationships/hyperlink" Target="http://2000.apogi.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t.manchestersicklecell@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t.manchestersicklecell@nhs.net" TargetMode="External"/><Relationship Id="rId4" Type="http://schemas.openxmlformats.org/officeDocument/2006/relationships/webSettings" Target="webSettings.xml"/><Relationship Id="rId9" Type="http://schemas.openxmlformats.org/officeDocument/2006/relationships/hyperlink" Target="https://www.gov.uk/government/publications/handbook-for-sickle-cell-and-thalassaemia-screening/prenatal-diagnosis-guidelin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Kate (RW3) CMFT Manchester</dc:creator>
  <cp:lastModifiedBy>Eva-Marie Clarke</cp:lastModifiedBy>
  <cp:revision>2</cp:revision>
  <dcterms:created xsi:type="dcterms:W3CDTF">2023-07-17T15:11:00Z</dcterms:created>
  <dcterms:modified xsi:type="dcterms:W3CDTF">2023-07-17T15:11:00Z</dcterms:modified>
</cp:coreProperties>
</file>