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en-GB"/>
        </w:rPr>
        <w:id w:val="-39677985"/>
        <w:docPartObj>
          <w:docPartGallery w:val="Cover Pages"/>
          <w:docPartUnique/>
        </w:docPartObj>
      </w:sdtPr>
      <w:sdtEndPr/>
      <w:sdtContent>
        <w:p w14:paraId="17780013" w14:textId="77777777" w:rsidR="00012418" w:rsidRDefault="00CB479C">
          <w:pPr>
            <w:pStyle w:val="NoSpacing"/>
          </w:pPr>
          <w:r>
            <w:rPr>
              <w:noProof/>
              <w:lang w:val="en-GB" w:eastAsia="en-GB"/>
            </w:rPr>
            <w:drawing>
              <wp:anchor distT="0" distB="0" distL="114300" distR="114300" simplePos="0" relativeHeight="251662336" behindDoc="0" locked="0" layoutInCell="1" allowOverlap="1" wp14:anchorId="2BC9F48D" wp14:editId="7DB79F95">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71A78F5F" w14:textId="77777777" w:rsidR="00CB479C" w:rsidRDefault="635C5D0E" w:rsidP="635C5D0E">
          <w:pPr>
            <w:rPr>
              <w:rFonts w:cs="Arial"/>
              <w:b/>
              <w:bCs/>
            </w:rPr>
          </w:pPr>
          <w:r w:rsidRPr="635C5D0E">
            <w:rPr>
              <w:rFonts w:cs="Arial"/>
              <w:b/>
              <w:bCs/>
            </w:rPr>
            <w:t>Recipient’s name</w:t>
          </w:r>
          <w:r w:rsidR="00CB479C" w:rsidRPr="00D97263">
            <w:rPr>
              <w:rFonts w:cs="Arial"/>
              <w:noProof/>
              <w:szCs w:val="24"/>
              <w:lang w:eastAsia="en-GB"/>
            </w:rPr>
            <mc:AlternateContent>
              <mc:Choice Requires="wps">
                <w:drawing>
                  <wp:anchor distT="0" distB="0" distL="114300" distR="114300" simplePos="0" relativeHeight="251664384" behindDoc="0" locked="0" layoutInCell="1" allowOverlap="1" wp14:anchorId="08721995" wp14:editId="1C4C25C0">
                    <wp:simplePos x="0" y="0"/>
                    <wp:positionH relativeFrom="column">
                      <wp:posOffset>3952875</wp:posOffset>
                    </wp:positionH>
                    <wp:positionV relativeFrom="paragraph">
                      <wp:posOffset>124460</wp:posOffset>
                    </wp:positionV>
                    <wp:extent cx="2374265" cy="2762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0"/>
                            </a:xfrm>
                            <a:prstGeom prst="rect">
                              <a:avLst/>
                            </a:prstGeom>
                            <a:noFill/>
                            <a:ln w="9525">
                              <a:noFill/>
                              <a:miter lim="800000"/>
                              <a:headEnd/>
                              <a:tailEnd/>
                            </a:ln>
                          </wps:spPr>
                          <wps:txbx>
                            <w:txbxContent>
                              <w:p w14:paraId="21EA8B2F" w14:textId="77777777" w:rsidR="00CB479C" w:rsidRDefault="00CB479C" w:rsidP="00CB479C">
                                <w:pPr>
                                  <w:jc w:val="right"/>
                                  <w:rPr>
                                    <w:rFonts w:cs="Arial"/>
                                    <w:szCs w:val="24"/>
                                  </w:rPr>
                                </w:pPr>
                                <w:r>
                                  <w:rPr>
                                    <w:rFonts w:cs="Arial"/>
                                    <w:szCs w:val="24"/>
                                  </w:rPr>
                                  <w:t>Name</w:t>
                                </w:r>
                              </w:p>
                              <w:p w14:paraId="3DEA3D1A" w14:textId="77777777" w:rsidR="00CB479C" w:rsidRPr="0047282D" w:rsidRDefault="00CB479C" w:rsidP="00CB479C">
                                <w:pPr>
                                  <w:jc w:val="right"/>
                                  <w:rPr>
                                    <w:rFonts w:cs="Arial"/>
                                    <w:szCs w:val="24"/>
                                  </w:rPr>
                                </w:pPr>
                                <w:r w:rsidRPr="0047282D">
                                  <w:rPr>
                                    <w:rFonts w:cs="Arial"/>
                                    <w:szCs w:val="24"/>
                                  </w:rPr>
                                  <w:t>Team/Directorate</w:t>
                                </w:r>
                              </w:p>
                              <w:p w14:paraId="5E36DCAB" w14:textId="77777777" w:rsidR="00CB479C" w:rsidRDefault="00CB479C" w:rsidP="00CB479C">
                                <w:pPr>
                                  <w:pStyle w:val="NoSpacing"/>
                                  <w:jc w:val="right"/>
                                  <w:rPr>
                                    <w:rFonts w:cs="Arial"/>
                                    <w:szCs w:val="24"/>
                                  </w:rPr>
                                </w:pPr>
                                <w:r w:rsidRPr="00D97263">
                                  <w:rPr>
                                    <w:rFonts w:cs="Arial"/>
                                    <w:szCs w:val="24"/>
                                  </w:rPr>
                                  <w:t xml:space="preserve">Address </w:t>
                                </w:r>
                                <w:r>
                                  <w:rPr>
                                    <w:rFonts w:cs="Arial"/>
                                    <w:szCs w:val="24"/>
                                  </w:rPr>
                                  <w:t>1</w:t>
                                </w:r>
                              </w:p>
                              <w:p w14:paraId="79BC7E3C" w14:textId="77777777" w:rsidR="00CB479C" w:rsidRDefault="00CB479C" w:rsidP="00CB479C">
                                <w:pPr>
                                  <w:pStyle w:val="NoSpacing"/>
                                  <w:jc w:val="right"/>
                                  <w:rPr>
                                    <w:rFonts w:cs="Arial"/>
                                    <w:szCs w:val="24"/>
                                  </w:rPr>
                                </w:pPr>
                                <w:r>
                                  <w:rPr>
                                    <w:rFonts w:cs="Arial"/>
                                    <w:szCs w:val="24"/>
                                  </w:rPr>
                                  <w:t>Address 2</w:t>
                                </w:r>
                              </w:p>
                              <w:p w14:paraId="4F43B623" w14:textId="77777777" w:rsidR="00CB479C" w:rsidRDefault="00CB479C" w:rsidP="00CB479C">
                                <w:pPr>
                                  <w:pStyle w:val="NoSpacing"/>
                                  <w:jc w:val="right"/>
                                  <w:rPr>
                                    <w:rFonts w:cs="Arial"/>
                                    <w:szCs w:val="24"/>
                                  </w:rPr>
                                </w:pPr>
                                <w:r>
                                  <w:rPr>
                                    <w:rFonts w:cs="Arial"/>
                                    <w:szCs w:val="24"/>
                                  </w:rPr>
                                  <w:t>Address 3</w:t>
                                </w:r>
                              </w:p>
                              <w:p w14:paraId="73AF3DBF" w14:textId="77777777" w:rsidR="00CB479C" w:rsidRDefault="00CB479C" w:rsidP="00CB479C">
                                <w:pPr>
                                  <w:pStyle w:val="NoSpacing"/>
                                  <w:jc w:val="right"/>
                                  <w:rPr>
                                    <w:rFonts w:cs="Arial"/>
                                    <w:szCs w:val="24"/>
                                  </w:rPr>
                                </w:pPr>
                                <w:r>
                                  <w:rPr>
                                    <w:rFonts w:cs="Arial"/>
                                    <w:szCs w:val="24"/>
                                  </w:rPr>
                                  <w:t>Postcode</w:t>
                                </w:r>
                              </w:p>
                              <w:p w14:paraId="24E0AAD8" w14:textId="77777777" w:rsidR="00CB479C" w:rsidRDefault="00CB479C" w:rsidP="00CB479C">
                                <w:pPr>
                                  <w:pStyle w:val="NoSpacing"/>
                                  <w:jc w:val="right"/>
                                  <w:rPr>
                                    <w:rFonts w:cs="Arial"/>
                                    <w:szCs w:val="24"/>
                                  </w:rPr>
                                </w:pPr>
                              </w:p>
                              <w:p w14:paraId="5A06EE05" w14:textId="77777777" w:rsidR="00CB479C" w:rsidRDefault="00CB479C" w:rsidP="00CB479C">
                                <w:pPr>
                                  <w:pStyle w:val="NoSpacing"/>
                                  <w:jc w:val="right"/>
                                  <w:rPr>
                                    <w:rFonts w:cs="Arial"/>
                                    <w:szCs w:val="24"/>
                                  </w:rPr>
                                </w:pPr>
                              </w:p>
                              <w:p w14:paraId="56E60F94" w14:textId="77777777" w:rsidR="00CB479C" w:rsidRDefault="00CB479C" w:rsidP="00CB479C">
                                <w:pPr>
                                  <w:pStyle w:val="NoSpacing"/>
                                  <w:jc w:val="right"/>
                                  <w:rPr>
                                    <w:rFonts w:cs="Arial"/>
                                    <w:szCs w:val="24"/>
                                  </w:rPr>
                                </w:pPr>
                                <w:r>
                                  <w:rPr>
                                    <w:rFonts w:cs="Arial"/>
                                    <w:szCs w:val="24"/>
                                  </w:rPr>
                                  <w:t>Telephone</w:t>
                                </w:r>
                              </w:p>
                              <w:p w14:paraId="52F091D5" w14:textId="77777777" w:rsidR="00CB479C" w:rsidRDefault="00CB479C" w:rsidP="00CB479C">
                                <w:pPr>
                                  <w:pStyle w:val="NoSpacing"/>
                                  <w:jc w:val="right"/>
                                  <w:rPr>
                                    <w:rFonts w:cs="Arial"/>
                                    <w:szCs w:val="24"/>
                                  </w:rPr>
                                </w:pPr>
                                <w:r>
                                  <w:rPr>
                                    <w:rFonts w:cs="Arial"/>
                                    <w:szCs w:val="24"/>
                                  </w:rPr>
                                  <w:t>Email address</w:t>
                                </w:r>
                              </w:p>
                              <w:p w14:paraId="721775E3" w14:textId="77777777" w:rsidR="00CB479C" w:rsidRDefault="00CB479C" w:rsidP="00CB479C">
                                <w:pPr>
                                  <w:pStyle w:val="NoSpacing"/>
                                  <w:jc w:val="right"/>
                                  <w:rPr>
                                    <w:rFonts w:cs="Arial"/>
                                    <w:szCs w:val="24"/>
                                  </w:rPr>
                                </w:pPr>
                              </w:p>
                              <w:p w14:paraId="091279AF" w14:textId="77777777" w:rsidR="00CB479C" w:rsidRDefault="00CB479C" w:rsidP="00CB479C">
                                <w:pPr>
                                  <w:pStyle w:val="NoSpacing"/>
                                  <w:rPr>
                                    <w:rFonts w:cs="Arial"/>
                                    <w:szCs w:val="24"/>
                                  </w:rPr>
                                </w:pPr>
                              </w:p>
                              <w:p w14:paraId="24D2D790" w14:textId="77777777" w:rsidR="00CB479C" w:rsidRPr="00D97263" w:rsidRDefault="00CB479C" w:rsidP="00CB479C">
                                <w:pPr>
                                  <w:pStyle w:val="NoSpacing"/>
                                  <w:jc w:val="right"/>
                                  <w:rPr>
                                    <w:rFonts w:cs="Arial"/>
                                    <w:szCs w:val="24"/>
                                  </w:rPr>
                                </w:pPr>
                                <w:r>
                                  <w:rPr>
                                    <w:rFonts w:cs="Arial"/>
                                    <w:szCs w:val="24"/>
                                  </w:rP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721995" id="_x0000_t202" coordsize="21600,21600" o:spt="202" path="m,l,21600r21600,l21600,xe">
                    <v:stroke joinstyle="miter"/>
                    <v:path gradientshapeok="t" o:connecttype="rect"/>
                  </v:shapetype>
                  <v:shape id="Text Box 2" o:spid="_x0000_s1026" type="#_x0000_t202" style="position:absolute;margin-left:311.25pt;margin-top:9.8pt;width:186.95pt;height:217.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" filled="f" stroked="f">
                    <v:textbox>
                      <w:txbxContent>
                        <w:p w14:paraId="21EA8B2F" w14:textId="77777777" w:rsidR="00CB479C" w:rsidRDefault="00CB479C" w:rsidP="00CB479C">
                          <w:pPr>
                            <w:jc w:val="right"/>
                            <w:rPr>
                              <w:rFonts w:cs="Arial"/>
                              <w:szCs w:val="24"/>
                            </w:rPr>
                          </w:pPr>
                          <w:r>
                            <w:rPr>
                              <w:rFonts w:cs="Arial"/>
                              <w:szCs w:val="24"/>
                            </w:rPr>
                            <w:t>Name</w:t>
                          </w:r>
                        </w:p>
                        <w:p w14:paraId="3DEA3D1A" w14:textId="77777777" w:rsidR="00CB479C" w:rsidRPr="0047282D" w:rsidRDefault="00CB479C" w:rsidP="00CB479C">
                          <w:pPr>
                            <w:jc w:val="right"/>
                            <w:rPr>
                              <w:rFonts w:cs="Arial"/>
                              <w:szCs w:val="24"/>
                            </w:rPr>
                          </w:pPr>
                          <w:r w:rsidRPr="0047282D">
                            <w:rPr>
                              <w:rFonts w:cs="Arial"/>
                              <w:szCs w:val="24"/>
                            </w:rPr>
                            <w:t>Team/Directorate</w:t>
                          </w:r>
                        </w:p>
                        <w:p w14:paraId="5E36DCAB" w14:textId="77777777" w:rsidR="00CB479C" w:rsidRDefault="00CB479C" w:rsidP="00CB479C">
                          <w:pPr>
                            <w:pStyle w:val="NoSpacing"/>
                            <w:jc w:val="right"/>
                            <w:rPr>
                              <w:rFonts w:cs="Arial"/>
                              <w:szCs w:val="24"/>
                            </w:rPr>
                          </w:pPr>
                          <w:r w:rsidRPr="00D97263">
                            <w:rPr>
                              <w:rFonts w:cs="Arial"/>
                              <w:szCs w:val="24"/>
                            </w:rPr>
                            <w:t xml:space="preserve">Address </w:t>
                          </w:r>
                          <w:r>
                            <w:rPr>
                              <w:rFonts w:cs="Arial"/>
                              <w:szCs w:val="24"/>
                            </w:rPr>
                            <w:t>1</w:t>
                          </w:r>
                        </w:p>
                        <w:p w14:paraId="79BC7E3C" w14:textId="77777777" w:rsidR="00CB479C" w:rsidRDefault="00CB479C" w:rsidP="00CB479C">
                          <w:pPr>
                            <w:pStyle w:val="NoSpacing"/>
                            <w:jc w:val="right"/>
                            <w:rPr>
                              <w:rFonts w:cs="Arial"/>
                              <w:szCs w:val="24"/>
                            </w:rPr>
                          </w:pPr>
                          <w:r>
                            <w:rPr>
                              <w:rFonts w:cs="Arial"/>
                              <w:szCs w:val="24"/>
                            </w:rPr>
                            <w:t>Address 2</w:t>
                          </w:r>
                        </w:p>
                        <w:p w14:paraId="4F43B623" w14:textId="77777777" w:rsidR="00CB479C" w:rsidRDefault="00CB479C" w:rsidP="00CB479C">
                          <w:pPr>
                            <w:pStyle w:val="NoSpacing"/>
                            <w:jc w:val="right"/>
                            <w:rPr>
                              <w:rFonts w:cs="Arial"/>
                              <w:szCs w:val="24"/>
                            </w:rPr>
                          </w:pPr>
                          <w:r>
                            <w:rPr>
                              <w:rFonts w:cs="Arial"/>
                              <w:szCs w:val="24"/>
                            </w:rPr>
                            <w:t>Address 3</w:t>
                          </w:r>
                        </w:p>
                        <w:p w14:paraId="73AF3DBF" w14:textId="77777777" w:rsidR="00CB479C" w:rsidRDefault="00CB479C" w:rsidP="00CB479C">
                          <w:pPr>
                            <w:pStyle w:val="NoSpacing"/>
                            <w:jc w:val="right"/>
                            <w:rPr>
                              <w:rFonts w:cs="Arial"/>
                              <w:szCs w:val="24"/>
                            </w:rPr>
                          </w:pPr>
                          <w:r>
                            <w:rPr>
                              <w:rFonts w:cs="Arial"/>
                              <w:szCs w:val="24"/>
                            </w:rPr>
                            <w:t>Postcode</w:t>
                          </w:r>
                        </w:p>
                        <w:p w14:paraId="24E0AAD8" w14:textId="77777777" w:rsidR="00CB479C" w:rsidRDefault="00CB479C" w:rsidP="00CB479C">
                          <w:pPr>
                            <w:pStyle w:val="NoSpacing"/>
                            <w:jc w:val="right"/>
                            <w:rPr>
                              <w:rFonts w:cs="Arial"/>
                              <w:szCs w:val="24"/>
                            </w:rPr>
                          </w:pPr>
                        </w:p>
                        <w:p w14:paraId="5A06EE05" w14:textId="77777777" w:rsidR="00CB479C" w:rsidRDefault="00CB479C" w:rsidP="00CB479C">
                          <w:pPr>
                            <w:pStyle w:val="NoSpacing"/>
                            <w:jc w:val="right"/>
                            <w:rPr>
                              <w:rFonts w:cs="Arial"/>
                              <w:szCs w:val="24"/>
                            </w:rPr>
                          </w:pPr>
                        </w:p>
                        <w:p w14:paraId="56E60F94" w14:textId="77777777" w:rsidR="00CB479C" w:rsidRDefault="00CB479C" w:rsidP="00CB479C">
                          <w:pPr>
                            <w:pStyle w:val="NoSpacing"/>
                            <w:jc w:val="right"/>
                            <w:rPr>
                              <w:rFonts w:cs="Arial"/>
                              <w:szCs w:val="24"/>
                            </w:rPr>
                          </w:pPr>
                          <w:r>
                            <w:rPr>
                              <w:rFonts w:cs="Arial"/>
                              <w:szCs w:val="24"/>
                            </w:rPr>
                            <w:t>Telephone</w:t>
                          </w:r>
                        </w:p>
                        <w:p w14:paraId="52F091D5" w14:textId="77777777" w:rsidR="00CB479C" w:rsidRDefault="00CB479C" w:rsidP="00CB479C">
                          <w:pPr>
                            <w:pStyle w:val="NoSpacing"/>
                            <w:jc w:val="right"/>
                            <w:rPr>
                              <w:rFonts w:cs="Arial"/>
                              <w:szCs w:val="24"/>
                            </w:rPr>
                          </w:pPr>
                          <w:r>
                            <w:rPr>
                              <w:rFonts w:cs="Arial"/>
                              <w:szCs w:val="24"/>
                            </w:rPr>
                            <w:t>Email address</w:t>
                          </w:r>
                        </w:p>
                        <w:p w14:paraId="721775E3" w14:textId="77777777" w:rsidR="00CB479C" w:rsidRDefault="00CB479C" w:rsidP="00CB479C">
                          <w:pPr>
                            <w:pStyle w:val="NoSpacing"/>
                            <w:jc w:val="right"/>
                            <w:rPr>
                              <w:rFonts w:cs="Arial"/>
                              <w:szCs w:val="24"/>
                            </w:rPr>
                          </w:pPr>
                        </w:p>
                        <w:p w14:paraId="091279AF" w14:textId="77777777" w:rsidR="00CB479C" w:rsidRDefault="00CB479C" w:rsidP="00CB479C">
                          <w:pPr>
                            <w:pStyle w:val="NoSpacing"/>
                            <w:rPr>
                              <w:rFonts w:cs="Arial"/>
                              <w:szCs w:val="24"/>
                            </w:rPr>
                          </w:pPr>
                        </w:p>
                        <w:p w14:paraId="24D2D790" w14:textId="77777777" w:rsidR="00CB479C" w:rsidRPr="00D97263" w:rsidRDefault="00CB479C" w:rsidP="00CB479C">
                          <w:pPr>
                            <w:pStyle w:val="NoSpacing"/>
                            <w:jc w:val="right"/>
                            <w:rPr>
                              <w:rFonts w:cs="Arial"/>
                              <w:szCs w:val="24"/>
                            </w:rPr>
                          </w:pPr>
                          <w:r>
                            <w:rPr>
                              <w:rFonts w:cs="Arial"/>
                              <w:szCs w:val="24"/>
                            </w:rPr>
                            <w:t>Date</w:t>
                          </w:r>
                        </w:p>
                      </w:txbxContent>
                    </v:textbox>
                  </v:shape>
                </w:pict>
              </mc:Fallback>
            </mc:AlternateContent>
          </w:r>
        </w:p>
        <w:p w14:paraId="443431BD" w14:textId="77777777" w:rsidR="00CB479C" w:rsidRDefault="00CB479C" w:rsidP="00CB479C">
          <w:pPr>
            <w:pStyle w:val="NoSpacing"/>
            <w:rPr>
              <w:rFonts w:cs="Arial"/>
              <w:szCs w:val="24"/>
            </w:rPr>
          </w:pPr>
          <w:r w:rsidRPr="00D97263">
            <w:rPr>
              <w:rFonts w:cs="Arial"/>
              <w:szCs w:val="24"/>
            </w:rPr>
            <w:t xml:space="preserve">Address </w:t>
          </w:r>
          <w:r>
            <w:rPr>
              <w:rFonts w:cs="Arial"/>
              <w:szCs w:val="24"/>
            </w:rPr>
            <w:t>1</w:t>
          </w:r>
        </w:p>
        <w:p w14:paraId="2164EDD0" w14:textId="77777777" w:rsidR="00CB479C" w:rsidRDefault="00CB479C" w:rsidP="00CB479C">
          <w:pPr>
            <w:pStyle w:val="NoSpacing"/>
            <w:rPr>
              <w:rFonts w:cs="Arial"/>
              <w:szCs w:val="24"/>
            </w:rPr>
          </w:pPr>
          <w:r>
            <w:rPr>
              <w:rFonts w:cs="Arial"/>
              <w:szCs w:val="24"/>
            </w:rPr>
            <w:t>Address 2</w:t>
          </w:r>
        </w:p>
        <w:p w14:paraId="38040959" w14:textId="77777777" w:rsidR="00CB479C" w:rsidRDefault="00CB479C" w:rsidP="00CB479C">
          <w:pPr>
            <w:pStyle w:val="NoSpacing"/>
            <w:rPr>
              <w:rFonts w:cs="Arial"/>
              <w:szCs w:val="24"/>
            </w:rPr>
          </w:pPr>
          <w:r>
            <w:rPr>
              <w:rFonts w:cs="Arial"/>
              <w:szCs w:val="24"/>
            </w:rPr>
            <w:t>Address 3</w:t>
          </w:r>
        </w:p>
        <w:p w14:paraId="0DE76B6F" w14:textId="77777777" w:rsidR="00CB479C" w:rsidRDefault="00CB479C" w:rsidP="00CB479C">
          <w:pPr>
            <w:pStyle w:val="NoSpacing"/>
            <w:rPr>
              <w:rFonts w:cs="Arial"/>
              <w:szCs w:val="24"/>
            </w:rPr>
          </w:pPr>
          <w:r>
            <w:rPr>
              <w:rFonts w:cs="Arial"/>
              <w:szCs w:val="24"/>
            </w:rPr>
            <w:t>Address 4</w:t>
          </w:r>
        </w:p>
        <w:p w14:paraId="02113B79" w14:textId="77777777" w:rsidR="00CB479C" w:rsidRPr="00D97263" w:rsidRDefault="00CB479C" w:rsidP="00CB479C">
          <w:pPr>
            <w:pStyle w:val="NoSpacing"/>
            <w:rPr>
              <w:rFonts w:cs="Arial"/>
              <w:szCs w:val="24"/>
            </w:rPr>
          </w:pPr>
          <w:r>
            <w:rPr>
              <w:rFonts w:cs="Arial"/>
              <w:szCs w:val="24"/>
            </w:rPr>
            <w:t>Postcode</w:t>
          </w:r>
        </w:p>
        <w:p w14:paraId="6A2342A2" w14:textId="77777777" w:rsidR="00CB479C" w:rsidRDefault="00CB479C"/>
        <w:p w14:paraId="65C02B1A" w14:textId="77777777" w:rsidR="00CB479C" w:rsidRDefault="00CB479C"/>
        <w:p w14:paraId="184264A8" w14:textId="77777777" w:rsidR="00012418" w:rsidRDefault="007C703A"/>
      </w:sdtContent>
    </w:sdt>
    <w:p w14:paraId="461C3D33" w14:textId="77777777" w:rsidR="0021299E" w:rsidRDefault="0021299E"/>
    <w:p w14:paraId="4464A1E6" w14:textId="77777777" w:rsidR="00CB479C" w:rsidRDefault="00CB479C"/>
    <w:p w14:paraId="63A3BC42" w14:textId="77777777" w:rsidR="00CB479C" w:rsidRDefault="00CB479C"/>
    <w:p w14:paraId="1B7A29AA" w14:textId="77777777" w:rsidR="0016296D" w:rsidRPr="0016296D" w:rsidRDefault="0016296D" w:rsidP="0016296D">
      <w:pPr>
        <w:widowControl w:val="0"/>
        <w:spacing w:after="0" w:line="240" w:lineRule="auto"/>
        <w:rPr>
          <w:rFonts w:eastAsia="Times New Roman" w:cs="Arial"/>
          <w:snapToGrid w:val="0"/>
          <w:szCs w:val="24"/>
        </w:rPr>
      </w:pPr>
      <w:r w:rsidRPr="0016296D">
        <w:rPr>
          <w:rFonts w:eastAsia="Times New Roman" w:cs="Arial"/>
          <w:snapToGrid w:val="0"/>
          <w:szCs w:val="24"/>
        </w:rPr>
        <w:t>Dear &lt;Medical Director&gt;</w:t>
      </w:r>
    </w:p>
    <w:p w14:paraId="389D11A3" w14:textId="77777777" w:rsidR="0016296D" w:rsidRPr="0016296D" w:rsidRDefault="0016296D" w:rsidP="0016296D">
      <w:pPr>
        <w:widowControl w:val="0"/>
        <w:spacing w:after="0" w:line="240" w:lineRule="auto"/>
        <w:rPr>
          <w:rFonts w:eastAsia="Times New Roman" w:cs="Arial"/>
          <w:snapToGrid w:val="0"/>
          <w:szCs w:val="24"/>
        </w:rPr>
      </w:pPr>
    </w:p>
    <w:p w14:paraId="7CBA5A80" w14:textId="77777777" w:rsidR="0016296D" w:rsidRPr="0016296D" w:rsidRDefault="0016296D" w:rsidP="00DA4F3E">
      <w:pPr>
        <w:widowControl w:val="0"/>
        <w:spacing w:after="0" w:line="240" w:lineRule="auto"/>
        <w:jc w:val="both"/>
        <w:rPr>
          <w:rFonts w:eastAsia="Times New Roman" w:cs="Arial"/>
          <w:b/>
          <w:bCs/>
          <w:snapToGrid w:val="0"/>
          <w:color w:val="FF0000"/>
          <w:szCs w:val="24"/>
        </w:rPr>
      </w:pPr>
      <w:r w:rsidRPr="0016296D">
        <w:rPr>
          <w:rFonts w:eastAsia="Times New Roman" w:cs="Arial"/>
          <w:b/>
          <w:snapToGrid w:val="0"/>
          <w:szCs w:val="24"/>
        </w:rPr>
        <w:t xml:space="preserve">Re: </w:t>
      </w:r>
      <w:r w:rsidRPr="0016296D">
        <w:rPr>
          <w:rFonts w:eastAsia="Times New Roman" w:cs="Arial"/>
          <w:b/>
          <w:bCs/>
          <w:snapToGrid w:val="0"/>
          <w:szCs w:val="24"/>
        </w:rPr>
        <w:t xml:space="preserve">NICE Technology Appraisal </w:t>
      </w:r>
      <w:r w:rsidRPr="00DA4F3E">
        <w:rPr>
          <w:rFonts w:eastAsia="Times New Roman" w:cs="Arial"/>
          <w:b/>
          <w:bCs/>
          <w:snapToGrid w:val="0"/>
          <w:szCs w:val="24"/>
        </w:rPr>
        <w:t xml:space="preserve">Final Appraisal Determination: </w:t>
      </w:r>
      <w:r w:rsidR="00DA4F3E" w:rsidRPr="00DA4F3E">
        <w:rPr>
          <w:rFonts w:eastAsia="Times New Roman" w:cs="Arial"/>
          <w:b/>
          <w:bCs/>
          <w:snapToGrid w:val="0"/>
          <w:szCs w:val="24"/>
        </w:rPr>
        <w:t>larotrectinib for treating NTRK fusion-positive solid tumours</w:t>
      </w:r>
      <w:r w:rsidRPr="00DA4F3E">
        <w:rPr>
          <w:rFonts w:eastAsia="Times New Roman" w:cs="Arial"/>
          <w:b/>
          <w:bCs/>
          <w:snapToGrid w:val="0"/>
          <w:szCs w:val="24"/>
        </w:rPr>
        <w:t xml:space="preserve"> </w:t>
      </w:r>
    </w:p>
    <w:p w14:paraId="142EDADC" w14:textId="77777777" w:rsidR="0016296D" w:rsidRPr="0016296D" w:rsidRDefault="0016296D" w:rsidP="00F34956">
      <w:pPr>
        <w:widowControl w:val="0"/>
        <w:spacing w:after="0" w:line="240" w:lineRule="auto"/>
        <w:rPr>
          <w:rFonts w:eastAsia="Times New Roman" w:cs="Arial"/>
          <w:b/>
          <w:bCs/>
          <w:snapToGrid w:val="0"/>
          <w:color w:val="FF0000"/>
          <w:szCs w:val="24"/>
        </w:rPr>
      </w:pPr>
    </w:p>
    <w:p w14:paraId="648EF539" w14:textId="77777777" w:rsidR="0016296D" w:rsidRPr="0016296D" w:rsidRDefault="0016296D" w:rsidP="00F34956">
      <w:pPr>
        <w:widowControl w:val="0"/>
        <w:spacing w:after="0" w:line="240" w:lineRule="auto"/>
        <w:rPr>
          <w:rFonts w:eastAsia="Times New Roman" w:cs="Arial"/>
          <w:snapToGrid w:val="0"/>
          <w:szCs w:val="24"/>
        </w:rPr>
      </w:pPr>
      <w:r w:rsidRPr="0016296D">
        <w:rPr>
          <w:rFonts w:eastAsia="Times New Roman" w:cs="Arial"/>
          <w:snapToGrid w:val="0"/>
          <w:szCs w:val="24"/>
        </w:rPr>
        <w:t xml:space="preserve">I am writing to advise you regarding the funding position on the recently published NICE Technology Appraisal </w:t>
      </w:r>
      <w:r w:rsidRPr="00DA4F3E">
        <w:rPr>
          <w:rFonts w:eastAsia="Times New Roman" w:cs="Arial"/>
          <w:snapToGrid w:val="0"/>
          <w:szCs w:val="24"/>
        </w:rPr>
        <w:t xml:space="preserve">Final Appraisal Determination (FAD) </w:t>
      </w:r>
      <w:r w:rsidRPr="0016296D">
        <w:rPr>
          <w:rFonts w:eastAsia="Times New Roman" w:cs="Arial"/>
          <w:snapToGrid w:val="0"/>
          <w:szCs w:val="24"/>
        </w:rPr>
        <w:t xml:space="preserve">for </w:t>
      </w:r>
      <w:r w:rsidR="00DA4F3E" w:rsidRPr="00DA4F3E">
        <w:rPr>
          <w:rFonts w:eastAsia="Times New Roman" w:cs="Arial"/>
          <w:snapToGrid w:val="0"/>
          <w:szCs w:val="24"/>
        </w:rPr>
        <w:t>larotrectinib for treating NTRK fusion-positive solid tumours</w:t>
      </w:r>
      <w:r w:rsidRPr="00DA4F3E">
        <w:rPr>
          <w:rFonts w:eastAsia="Times New Roman" w:cs="Arial"/>
          <w:snapToGrid w:val="0"/>
          <w:szCs w:val="24"/>
        </w:rPr>
        <w:t>.</w:t>
      </w:r>
    </w:p>
    <w:p w14:paraId="5B627A99" w14:textId="77777777" w:rsidR="0016296D" w:rsidRPr="0016296D" w:rsidRDefault="0016296D" w:rsidP="00F34956">
      <w:pPr>
        <w:widowControl w:val="0"/>
        <w:spacing w:after="0" w:line="240" w:lineRule="auto"/>
        <w:rPr>
          <w:rFonts w:eastAsia="Times New Roman" w:cs="Arial"/>
          <w:snapToGrid w:val="0"/>
          <w:szCs w:val="24"/>
        </w:rPr>
      </w:pPr>
    </w:p>
    <w:p w14:paraId="6C063930" w14:textId="77777777" w:rsidR="0016296D" w:rsidRPr="0016296D" w:rsidRDefault="0016296D" w:rsidP="00F34956">
      <w:pPr>
        <w:widowControl w:val="0"/>
        <w:spacing w:after="0" w:line="240" w:lineRule="auto"/>
        <w:rPr>
          <w:rFonts w:eastAsia="Times New Roman" w:cs="Arial"/>
          <w:snapToGrid w:val="0"/>
          <w:szCs w:val="24"/>
        </w:rPr>
      </w:pPr>
      <w:r w:rsidRPr="0016296D">
        <w:rPr>
          <w:rFonts w:eastAsia="Times New Roman" w:cs="Arial"/>
          <w:snapToGrid w:val="0"/>
          <w:szCs w:val="24"/>
        </w:rPr>
        <w:t xml:space="preserve">The </w:t>
      </w:r>
      <w:r w:rsidRPr="00DA4F3E">
        <w:rPr>
          <w:rFonts w:eastAsia="Times New Roman" w:cs="Arial"/>
          <w:snapToGrid w:val="0"/>
          <w:szCs w:val="24"/>
        </w:rPr>
        <w:t xml:space="preserve">FAD </w:t>
      </w:r>
      <w:r w:rsidRPr="0016296D">
        <w:rPr>
          <w:rFonts w:eastAsia="Times New Roman" w:cs="Arial"/>
          <w:snapToGrid w:val="0"/>
          <w:szCs w:val="24"/>
        </w:rPr>
        <w:t xml:space="preserve">can be found at: </w:t>
      </w:r>
      <w:hyperlink r:id="rId11" w:history="1">
        <w:r w:rsidR="00DA4F3E" w:rsidRPr="000115E1">
          <w:rPr>
            <w:rStyle w:val="Hyperlink"/>
            <w:rFonts w:eastAsia="Times New Roman" w:cs="Arial"/>
            <w:snapToGrid w:val="0"/>
            <w:szCs w:val="24"/>
          </w:rPr>
          <w:t>https://www.nice.org.uk/guidance/indevelopment/gid-ta10229</w:t>
        </w:r>
      </w:hyperlink>
      <w:r w:rsidR="00DA4F3E">
        <w:rPr>
          <w:rFonts w:eastAsia="Times New Roman" w:cs="Arial"/>
          <w:snapToGrid w:val="0"/>
          <w:color w:val="FF0000"/>
          <w:szCs w:val="24"/>
        </w:rPr>
        <w:t xml:space="preserve"> </w:t>
      </w:r>
    </w:p>
    <w:p w14:paraId="45CCDF12" w14:textId="77777777" w:rsidR="0016296D" w:rsidRPr="0016296D" w:rsidRDefault="0016296D" w:rsidP="00F34956">
      <w:pPr>
        <w:widowControl w:val="0"/>
        <w:spacing w:after="0" w:line="240" w:lineRule="auto"/>
        <w:rPr>
          <w:rFonts w:eastAsia="Times New Roman" w:cs="Arial"/>
          <w:snapToGrid w:val="0"/>
          <w:szCs w:val="24"/>
        </w:rPr>
      </w:pPr>
    </w:p>
    <w:p w14:paraId="5F96A076" w14:textId="073CFCEE" w:rsidR="0016296D" w:rsidRPr="0016296D" w:rsidRDefault="0016296D" w:rsidP="00F34956">
      <w:pPr>
        <w:widowControl w:val="0"/>
        <w:spacing w:after="0" w:line="240" w:lineRule="auto"/>
        <w:rPr>
          <w:rFonts w:eastAsia="Times New Roman" w:cs="Arial"/>
          <w:snapToGrid w:val="0"/>
          <w:szCs w:val="24"/>
        </w:rPr>
      </w:pPr>
      <w:r w:rsidRPr="0016296D">
        <w:rPr>
          <w:rFonts w:eastAsia="Times New Roman" w:cs="Arial"/>
          <w:snapToGrid w:val="0"/>
          <w:szCs w:val="24"/>
        </w:rPr>
        <w:t xml:space="preserve">NICE in their </w:t>
      </w:r>
      <w:r w:rsidRPr="00DA4F3E">
        <w:rPr>
          <w:rFonts w:eastAsia="Times New Roman" w:cs="Arial"/>
          <w:snapToGrid w:val="0"/>
          <w:szCs w:val="24"/>
        </w:rPr>
        <w:t>FAD</w:t>
      </w:r>
      <w:r w:rsidRPr="0016296D">
        <w:rPr>
          <w:rFonts w:eastAsia="Times New Roman" w:cs="Arial"/>
          <w:snapToGrid w:val="0"/>
          <w:color w:val="FF0000"/>
          <w:szCs w:val="24"/>
        </w:rPr>
        <w:t xml:space="preserve"> </w:t>
      </w:r>
      <w:r w:rsidRPr="0016296D">
        <w:rPr>
          <w:rFonts w:eastAsia="Times New Roman" w:cs="Arial"/>
          <w:snapToGrid w:val="0"/>
          <w:szCs w:val="24"/>
        </w:rPr>
        <w:t xml:space="preserve">published on </w:t>
      </w:r>
      <w:r w:rsidR="00E6610C">
        <w:rPr>
          <w:rFonts w:eastAsia="Times New Roman" w:cs="Arial"/>
          <w:snapToGrid w:val="0"/>
          <w:szCs w:val="24"/>
        </w:rPr>
        <w:t>21</w:t>
      </w:r>
      <w:r w:rsidR="00E6610C" w:rsidRPr="00E6610C">
        <w:rPr>
          <w:rFonts w:eastAsia="Times New Roman" w:cs="Arial"/>
          <w:snapToGrid w:val="0"/>
          <w:szCs w:val="24"/>
          <w:vertAlign w:val="superscript"/>
        </w:rPr>
        <w:t>st</w:t>
      </w:r>
      <w:r w:rsidR="00E6610C">
        <w:rPr>
          <w:rFonts w:eastAsia="Times New Roman" w:cs="Arial"/>
          <w:snapToGrid w:val="0"/>
          <w:szCs w:val="24"/>
        </w:rPr>
        <w:t xml:space="preserve"> </w:t>
      </w:r>
      <w:r w:rsidR="00DA4F3E" w:rsidRPr="00DA4F3E">
        <w:rPr>
          <w:rFonts w:eastAsia="Times New Roman" w:cs="Arial"/>
          <w:snapToGrid w:val="0"/>
          <w:szCs w:val="24"/>
        </w:rPr>
        <w:t>April 2020</w:t>
      </w:r>
      <w:r w:rsidRPr="00DA4F3E">
        <w:rPr>
          <w:rFonts w:eastAsia="Times New Roman" w:cs="Arial"/>
          <w:snapToGrid w:val="0"/>
          <w:szCs w:val="24"/>
        </w:rPr>
        <w:t xml:space="preserve"> </w:t>
      </w:r>
      <w:r w:rsidRPr="0016296D">
        <w:rPr>
          <w:rFonts w:eastAsia="Times New Roman" w:cs="Arial"/>
          <w:snapToGrid w:val="0"/>
          <w:szCs w:val="24"/>
        </w:rPr>
        <w:t>has stated that:</w:t>
      </w:r>
    </w:p>
    <w:p w14:paraId="3096B06D" w14:textId="77777777" w:rsidR="0016296D" w:rsidRPr="0016296D" w:rsidRDefault="0016296D" w:rsidP="00F34956">
      <w:pPr>
        <w:widowControl w:val="0"/>
        <w:spacing w:after="0" w:line="240" w:lineRule="auto"/>
        <w:rPr>
          <w:rFonts w:eastAsia="Times New Roman" w:cs="Arial"/>
          <w:snapToGrid w:val="0"/>
          <w:szCs w:val="24"/>
        </w:rPr>
      </w:pPr>
    </w:p>
    <w:p w14:paraId="7D0C3EB9" w14:textId="3DAE340B" w:rsidR="00DA4F3E" w:rsidRPr="00DA4F3E" w:rsidRDefault="00DA4F3E" w:rsidP="007E4374">
      <w:pPr>
        <w:widowControl w:val="0"/>
        <w:spacing w:after="120" w:line="240" w:lineRule="auto"/>
        <w:ind w:left="709" w:hanging="709"/>
        <w:contextualSpacing/>
        <w:rPr>
          <w:rFonts w:eastAsia="Times New Roman" w:cs="Arial"/>
          <w:snapToGrid w:val="0"/>
          <w:szCs w:val="24"/>
        </w:rPr>
      </w:pPr>
      <w:r>
        <w:rPr>
          <w:rFonts w:eastAsia="Times New Roman" w:cs="Arial"/>
          <w:snapToGrid w:val="0"/>
          <w:szCs w:val="24"/>
        </w:rPr>
        <w:t>1.1</w:t>
      </w:r>
      <w:r>
        <w:rPr>
          <w:rFonts w:eastAsia="Times New Roman" w:cs="Arial"/>
          <w:snapToGrid w:val="0"/>
          <w:szCs w:val="24"/>
        </w:rPr>
        <w:tab/>
      </w:r>
      <w:r w:rsidRPr="00DA4F3E">
        <w:rPr>
          <w:rFonts w:eastAsia="Times New Roman" w:cs="Arial"/>
          <w:snapToGrid w:val="0"/>
          <w:szCs w:val="24"/>
        </w:rPr>
        <w:t>Larotrectinib is recommended for use within the Cancer Drugs Fund as an</w:t>
      </w:r>
      <w:r w:rsidR="007E4374">
        <w:rPr>
          <w:rFonts w:eastAsia="Times New Roman" w:cs="Arial"/>
          <w:snapToGrid w:val="0"/>
          <w:szCs w:val="24"/>
        </w:rPr>
        <w:t xml:space="preserve"> </w:t>
      </w:r>
      <w:r w:rsidRPr="00DA4F3E">
        <w:rPr>
          <w:rFonts w:eastAsia="Times New Roman" w:cs="Arial"/>
          <w:snapToGrid w:val="0"/>
          <w:szCs w:val="24"/>
        </w:rPr>
        <w:t>option for treating neurotrophic tyrosine receptor kinase (NTRK) fusion</w:t>
      </w:r>
      <w:r>
        <w:rPr>
          <w:rFonts w:eastAsia="Times New Roman" w:cs="Arial"/>
          <w:snapToGrid w:val="0"/>
          <w:szCs w:val="24"/>
        </w:rPr>
        <w:t xml:space="preserve"> </w:t>
      </w:r>
      <w:r w:rsidRPr="00DA4F3E">
        <w:rPr>
          <w:rFonts w:eastAsia="Times New Roman" w:cs="Arial"/>
          <w:snapToGrid w:val="0"/>
          <w:szCs w:val="24"/>
        </w:rPr>
        <w:t>positive solid tumours in adults and children if:</w:t>
      </w:r>
    </w:p>
    <w:p w14:paraId="59CF3405" w14:textId="77777777" w:rsidR="00DA4F3E" w:rsidRPr="00DA4F3E" w:rsidRDefault="00DA4F3E" w:rsidP="007E4374">
      <w:pPr>
        <w:pStyle w:val="ListParagraph"/>
        <w:widowControl w:val="0"/>
        <w:numPr>
          <w:ilvl w:val="0"/>
          <w:numId w:val="2"/>
        </w:numPr>
        <w:spacing w:after="120" w:line="240" w:lineRule="auto"/>
        <w:ind w:left="1134"/>
        <w:rPr>
          <w:rFonts w:eastAsia="Times New Roman" w:cs="Arial"/>
          <w:snapToGrid w:val="0"/>
          <w:szCs w:val="24"/>
        </w:rPr>
      </w:pPr>
      <w:r w:rsidRPr="00DA4F3E">
        <w:rPr>
          <w:rFonts w:eastAsia="Times New Roman" w:cs="Arial"/>
          <w:snapToGrid w:val="0"/>
          <w:szCs w:val="24"/>
        </w:rPr>
        <w:t>the disease is locally advanced or metastatic or surgery could cause</w:t>
      </w:r>
      <w:r>
        <w:rPr>
          <w:rFonts w:eastAsia="Times New Roman" w:cs="Arial"/>
          <w:snapToGrid w:val="0"/>
          <w:szCs w:val="24"/>
        </w:rPr>
        <w:t xml:space="preserve"> </w:t>
      </w:r>
      <w:r w:rsidRPr="00DA4F3E">
        <w:rPr>
          <w:rFonts w:eastAsia="Times New Roman" w:cs="Arial"/>
          <w:snapToGrid w:val="0"/>
          <w:szCs w:val="24"/>
        </w:rPr>
        <w:t>severe health problems and</w:t>
      </w:r>
    </w:p>
    <w:p w14:paraId="7D0B848C" w14:textId="77777777" w:rsidR="0016296D" w:rsidRPr="00DA4F3E" w:rsidRDefault="00DA4F3E" w:rsidP="007E4374">
      <w:pPr>
        <w:pStyle w:val="ListParagraph"/>
        <w:widowControl w:val="0"/>
        <w:numPr>
          <w:ilvl w:val="0"/>
          <w:numId w:val="2"/>
        </w:numPr>
        <w:spacing w:after="120" w:line="240" w:lineRule="auto"/>
        <w:ind w:left="1134"/>
        <w:rPr>
          <w:rFonts w:eastAsia="Times New Roman" w:cs="Arial"/>
          <w:snapToGrid w:val="0"/>
          <w:szCs w:val="24"/>
        </w:rPr>
      </w:pPr>
      <w:r w:rsidRPr="00DA4F3E">
        <w:rPr>
          <w:rFonts w:eastAsia="Times New Roman" w:cs="Arial"/>
          <w:snapToGrid w:val="0"/>
          <w:szCs w:val="24"/>
        </w:rPr>
        <w:t>they have no satisfactory treatment options.</w:t>
      </w:r>
    </w:p>
    <w:p w14:paraId="3DE8DBCE" w14:textId="77777777" w:rsidR="00DA4F3E" w:rsidRDefault="00DA4F3E" w:rsidP="00F34956">
      <w:pPr>
        <w:widowControl w:val="0"/>
        <w:spacing w:after="0" w:line="240" w:lineRule="auto"/>
        <w:rPr>
          <w:rFonts w:eastAsia="Times New Roman" w:cs="Arial"/>
          <w:snapToGrid w:val="0"/>
          <w:szCs w:val="24"/>
        </w:rPr>
      </w:pPr>
    </w:p>
    <w:p w14:paraId="627C8247" w14:textId="7D467D19" w:rsidR="0016296D" w:rsidRPr="0016296D" w:rsidRDefault="00DA4F3E" w:rsidP="00F34956">
      <w:pPr>
        <w:widowControl w:val="0"/>
        <w:spacing w:after="0" w:line="240" w:lineRule="auto"/>
        <w:rPr>
          <w:rFonts w:eastAsia="Times New Roman" w:cs="Arial"/>
          <w:snapToGrid w:val="0"/>
          <w:szCs w:val="24"/>
        </w:rPr>
      </w:pPr>
      <w:r w:rsidRPr="00DA4F3E">
        <w:rPr>
          <w:rFonts w:eastAsia="Times New Roman" w:cs="Arial"/>
          <w:snapToGrid w:val="0"/>
          <w:szCs w:val="24"/>
        </w:rPr>
        <w:t>Larotrectinib</w:t>
      </w:r>
      <w:r w:rsidR="0016296D" w:rsidRPr="0016296D">
        <w:rPr>
          <w:rFonts w:eastAsia="Times New Roman" w:cs="Arial"/>
          <w:snapToGrid w:val="0"/>
          <w:szCs w:val="24"/>
        </w:rPr>
        <w:t xml:space="preserve"> will be available via the Cancer Drugs Fund (CDF) from </w:t>
      </w:r>
      <w:r w:rsidR="00E6610C">
        <w:rPr>
          <w:rFonts w:eastAsia="Times New Roman" w:cs="Arial"/>
          <w:snapToGrid w:val="0"/>
          <w:szCs w:val="24"/>
        </w:rPr>
        <w:t>21</w:t>
      </w:r>
      <w:r w:rsidR="00E6610C" w:rsidRPr="00E6610C">
        <w:rPr>
          <w:rFonts w:eastAsia="Times New Roman" w:cs="Arial"/>
          <w:snapToGrid w:val="0"/>
          <w:szCs w:val="24"/>
          <w:vertAlign w:val="superscript"/>
        </w:rPr>
        <w:t>st</w:t>
      </w:r>
      <w:r w:rsidR="00E6610C">
        <w:rPr>
          <w:rFonts w:eastAsia="Times New Roman" w:cs="Arial"/>
          <w:snapToGrid w:val="0"/>
          <w:szCs w:val="24"/>
        </w:rPr>
        <w:t xml:space="preserve"> </w:t>
      </w:r>
      <w:r w:rsidRPr="00DA4F3E">
        <w:rPr>
          <w:rFonts w:eastAsia="Times New Roman" w:cs="Arial"/>
          <w:snapToGrid w:val="0"/>
          <w:szCs w:val="24"/>
        </w:rPr>
        <w:t>April 2020</w:t>
      </w:r>
      <w:r w:rsidR="0016296D" w:rsidRPr="00DA4F3E">
        <w:rPr>
          <w:rFonts w:eastAsia="Times New Roman" w:cs="Arial"/>
          <w:snapToGrid w:val="0"/>
          <w:szCs w:val="24"/>
        </w:rPr>
        <w:t xml:space="preserve"> </w:t>
      </w:r>
      <w:r w:rsidR="0016296D" w:rsidRPr="0016296D">
        <w:rPr>
          <w:rFonts w:eastAsia="Times New Roman" w:cs="Arial"/>
          <w:snapToGrid w:val="0"/>
          <w:szCs w:val="24"/>
        </w:rPr>
        <w:t xml:space="preserve">in line with these recommendations and according to a set of treatment criteria which translates the NICE recommendation into a clinical guide as to use in practice. These treatment criteria can be found on the national CDF list at  </w:t>
      </w:r>
      <w:hyperlink r:id="rId12" w:history="1">
        <w:r w:rsidR="0016296D" w:rsidRPr="0016296D">
          <w:rPr>
            <w:rFonts w:eastAsia="Times New Roman" w:cs="Arial"/>
            <w:snapToGrid w:val="0"/>
            <w:color w:val="0000FF"/>
            <w:szCs w:val="24"/>
            <w:u w:val="single"/>
          </w:rPr>
          <w:t>https://www.england.nhs.uk/cancer/cdf/cancer-drugs-fund-list/</w:t>
        </w:r>
      </w:hyperlink>
      <w:r w:rsidR="0016296D" w:rsidRPr="0016296D">
        <w:rPr>
          <w:rFonts w:eastAsia="Times New Roman" w:cs="Arial"/>
          <w:snapToGrid w:val="0"/>
          <w:szCs w:val="24"/>
        </w:rPr>
        <w:t xml:space="preserve"> or on the application form(s) on the Blueteq site.</w:t>
      </w:r>
    </w:p>
    <w:p w14:paraId="5D9EB695" w14:textId="77777777" w:rsidR="0016296D" w:rsidRPr="0016296D" w:rsidRDefault="0016296D" w:rsidP="00F34956">
      <w:pPr>
        <w:widowControl w:val="0"/>
        <w:spacing w:after="0" w:line="240" w:lineRule="auto"/>
        <w:rPr>
          <w:rFonts w:eastAsia="Times New Roman" w:cs="Arial"/>
          <w:snapToGrid w:val="0"/>
          <w:szCs w:val="24"/>
        </w:rPr>
      </w:pPr>
    </w:p>
    <w:p w14:paraId="2CCF5556" w14:textId="77777777" w:rsidR="0016296D" w:rsidRPr="00DA4F3E" w:rsidRDefault="00DA4F3E" w:rsidP="00F34956">
      <w:pPr>
        <w:widowControl w:val="0"/>
        <w:spacing w:after="0" w:line="240" w:lineRule="auto"/>
        <w:rPr>
          <w:rFonts w:eastAsia="Times New Roman" w:cs="Arial"/>
          <w:snapToGrid w:val="0"/>
          <w:szCs w:val="24"/>
        </w:rPr>
      </w:pPr>
      <w:r w:rsidRPr="00DA4F3E">
        <w:rPr>
          <w:rFonts w:eastAsia="Times New Roman" w:cs="Arial"/>
          <w:snapToGrid w:val="0"/>
          <w:szCs w:val="24"/>
        </w:rPr>
        <w:t>Larotrectinib</w:t>
      </w:r>
      <w:r w:rsidR="0016296D" w:rsidRPr="00DA4F3E">
        <w:rPr>
          <w:rFonts w:eastAsia="Times New Roman" w:cs="Arial"/>
          <w:snapToGrid w:val="0"/>
          <w:szCs w:val="24"/>
        </w:rPr>
        <w:t xml:space="preserve"> will be available via the Cancer Drugs Fund (CDF) under the terms of the managed access agreement (MAA) and commercial access agreement (CAA), until NICE reviews th</w:t>
      </w:r>
      <w:r>
        <w:rPr>
          <w:rFonts w:eastAsia="Times New Roman" w:cs="Arial"/>
          <w:snapToGrid w:val="0"/>
          <w:szCs w:val="24"/>
        </w:rPr>
        <w:t>is</w:t>
      </w:r>
      <w:r w:rsidR="0016296D" w:rsidRPr="00DA4F3E">
        <w:rPr>
          <w:rFonts w:eastAsia="Times New Roman" w:cs="Arial"/>
          <w:snapToGrid w:val="0"/>
          <w:szCs w:val="24"/>
        </w:rPr>
        <w:t xml:space="preserve"> indication.</w:t>
      </w:r>
    </w:p>
    <w:p w14:paraId="29098A9A" w14:textId="77777777" w:rsidR="0016296D" w:rsidRPr="0016296D" w:rsidRDefault="0016296D" w:rsidP="00F34956">
      <w:pPr>
        <w:widowControl w:val="0"/>
        <w:spacing w:after="0" w:line="240" w:lineRule="auto"/>
        <w:rPr>
          <w:rFonts w:eastAsia="Times New Roman" w:cs="Arial"/>
          <w:snapToGrid w:val="0"/>
          <w:szCs w:val="24"/>
        </w:rPr>
      </w:pPr>
    </w:p>
    <w:p w14:paraId="6E16FEEC" w14:textId="77777777" w:rsidR="0016296D" w:rsidRPr="0016296D" w:rsidRDefault="0016296D" w:rsidP="00F34956">
      <w:pPr>
        <w:widowControl w:val="0"/>
        <w:spacing w:after="0" w:line="240" w:lineRule="auto"/>
        <w:rPr>
          <w:rFonts w:eastAsia="Times New Roman" w:cs="Arial"/>
          <w:snapToGrid w:val="0"/>
          <w:szCs w:val="24"/>
        </w:rPr>
      </w:pPr>
      <w:r w:rsidRPr="0016296D">
        <w:rPr>
          <w:rFonts w:eastAsia="Times New Roman" w:cs="Arial"/>
          <w:snapToGrid w:val="0"/>
          <w:szCs w:val="24"/>
        </w:rPr>
        <w:t>In addition:</w:t>
      </w:r>
    </w:p>
    <w:p w14:paraId="033EA0CB" w14:textId="77777777" w:rsidR="0016296D" w:rsidRPr="0016296D" w:rsidRDefault="0016296D" w:rsidP="00F34956">
      <w:pPr>
        <w:widowControl w:val="0"/>
        <w:spacing w:after="0" w:line="240" w:lineRule="auto"/>
        <w:rPr>
          <w:rFonts w:eastAsia="Times New Roman" w:cs="Arial"/>
          <w:snapToGrid w:val="0"/>
          <w:szCs w:val="24"/>
        </w:rPr>
      </w:pPr>
    </w:p>
    <w:p w14:paraId="14AB455E" w14:textId="77777777" w:rsidR="0016296D" w:rsidRPr="00947E7B" w:rsidRDefault="0016296D" w:rsidP="00F34956">
      <w:pPr>
        <w:widowControl w:val="0"/>
        <w:numPr>
          <w:ilvl w:val="0"/>
          <w:numId w:val="1"/>
        </w:numPr>
        <w:spacing w:after="0" w:line="240" w:lineRule="auto"/>
        <w:rPr>
          <w:rFonts w:eastAsia="Calibri" w:cs="Arial"/>
          <w:szCs w:val="24"/>
        </w:rPr>
      </w:pPr>
      <w:r w:rsidRPr="00947E7B">
        <w:rPr>
          <w:rFonts w:eastAsia="Calibri" w:cs="Arial"/>
          <w:szCs w:val="24"/>
        </w:rPr>
        <w:t xml:space="preserve">Trusts must ensure that they are purchasing </w:t>
      </w:r>
      <w:r w:rsidR="00DA4F3E" w:rsidRPr="00947E7B">
        <w:rPr>
          <w:rFonts w:eastAsia="Calibri" w:cs="Arial"/>
          <w:snapToGrid w:val="0"/>
          <w:szCs w:val="24"/>
        </w:rPr>
        <w:t>larotrectinib</w:t>
      </w:r>
      <w:r w:rsidRPr="00947E7B">
        <w:rPr>
          <w:rFonts w:eastAsia="Calibri" w:cs="Arial"/>
          <w:snapToGrid w:val="0"/>
          <w:szCs w:val="24"/>
        </w:rPr>
        <w:t xml:space="preserve"> </w:t>
      </w:r>
      <w:r w:rsidRPr="00947E7B">
        <w:rPr>
          <w:rFonts w:eastAsia="Calibri" w:cs="Arial"/>
          <w:szCs w:val="24"/>
        </w:rPr>
        <w:t>at the agreed proposed patient access scheme (PAS) discounted price. This discounted price will be applied automatically at point of invoice and applies to all indications.</w:t>
      </w:r>
    </w:p>
    <w:p w14:paraId="0990F4C8" w14:textId="78D8768B" w:rsidR="0016296D" w:rsidRPr="00E6610C" w:rsidRDefault="0016296D" w:rsidP="00F34956">
      <w:pPr>
        <w:widowControl w:val="0"/>
        <w:numPr>
          <w:ilvl w:val="0"/>
          <w:numId w:val="1"/>
        </w:numPr>
        <w:spacing w:after="0" w:line="240" w:lineRule="auto"/>
        <w:rPr>
          <w:rFonts w:eastAsia="Calibri" w:cs="Arial"/>
          <w:szCs w:val="24"/>
        </w:rPr>
      </w:pPr>
      <w:r w:rsidRPr="00E6610C">
        <w:rPr>
          <w:rFonts w:eastAsia="Calibri" w:cs="Arial"/>
          <w:szCs w:val="24"/>
        </w:rPr>
        <w:t>Trusts must ensure that any patients registered on the EAMS programme / company led compassionate use programme who meet the clinical criteria for the drug are registered via Blueteq in order for the CDF to pick up the costs of their ongoing treatment. Patients who do not meet the clinical criteria should continue to receive</w:t>
      </w:r>
      <w:r w:rsidR="000E61C9">
        <w:rPr>
          <w:rFonts w:eastAsia="Calibri" w:cs="Arial"/>
          <w:szCs w:val="24"/>
        </w:rPr>
        <w:t xml:space="preserve"> the</w:t>
      </w:r>
      <w:r w:rsidRPr="00E6610C">
        <w:rPr>
          <w:rFonts w:eastAsia="Calibri" w:cs="Arial"/>
          <w:szCs w:val="24"/>
        </w:rPr>
        <w:t xml:space="preserve"> drug via the manufacturer</w:t>
      </w:r>
      <w:r w:rsidR="00E6610C" w:rsidRPr="00E6610C">
        <w:rPr>
          <w:rFonts w:eastAsia="Calibri" w:cs="Arial"/>
          <w:szCs w:val="24"/>
        </w:rPr>
        <w:t>.</w:t>
      </w:r>
    </w:p>
    <w:p w14:paraId="190B47AB" w14:textId="77777777" w:rsidR="0016296D" w:rsidRPr="00947E7B" w:rsidRDefault="0016296D" w:rsidP="00F34956">
      <w:pPr>
        <w:widowControl w:val="0"/>
        <w:numPr>
          <w:ilvl w:val="0"/>
          <w:numId w:val="1"/>
        </w:numPr>
        <w:spacing w:after="0" w:line="240" w:lineRule="auto"/>
        <w:rPr>
          <w:rFonts w:eastAsia="Calibri" w:cs="Arial"/>
          <w:szCs w:val="24"/>
        </w:rPr>
      </w:pPr>
      <w:r w:rsidRPr="00947E7B">
        <w:rPr>
          <w:rFonts w:eastAsia="Calibri" w:cs="Arial"/>
          <w:szCs w:val="24"/>
        </w:rPr>
        <w:t xml:space="preserve">The MAA incorporates a commercial in confidence CAA which includes a discounted price for </w:t>
      </w:r>
      <w:r w:rsidR="00DA4F3E" w:rsidRPr="00947E7B">
        <w:rPr>
          <w:rFonts w:eastAsia="Calibri" w:cs="Arial"/>
          <w:szCs w:val="24"/>
        </w:rPr>
        <w:t>larotrectinib</w:t>
      </w:r>
      <w:r w:rsidRPr="00947E7B">
        <w:rPr>
          <w:rFonts w:eastAsia="Calibri" w:cs="Arial"/>
          <w:szCs w:val="24"/>
        </w:rPr>
        <w:t xml:space="preserve"> across all indications in use in the NHS. Trusts must ensure that they are purchasing </w:t>
      </w:r>
      <w:r w:rsidR="00DA4F3E" w:rsidRPr="00947E7B">
        <w:rPr>
          <w:rFonts w:eastAsia="Calibri" w:cs="Arial"/>
          <w:szCs w:val="24"/>
        </w:rPr>
        <w:t>larotrectinib</w:t>
      </w:r>
      <w:r w:rsidRPr="00947E7B">
        <w:rPr>
          <w:rFonts w:eastAsia="Calibri" w:cs="Arial"/>
          <w:szCs w:val="24"/>
        </w:rPr>
        <w:t xml:space="preserve"> at the agreed CAA discounted price. This discounted price will be applied automatically at point of invoice.</w:t>
      </w:r>
    </w:p>
    <w:p w14:paraId="60C928A3" w14:textId="77777777" w:rsidR="0016296D" w:rsidRPr="00947E7B" w:rsidRDefault="0016296D" w:rsidP="00F34956">
      <w:pPr>
        <w:widowControl w:val="0"/>
        <w:numPr>
          <w:ilvl w:val="0"/>
          <w:numId w:val="1"/>
        </w:numPr>
        <w:spacing w:after="0" w:line="240" w:lineRule="auto"/>
        <w:rPr>
          <w:rFonts w:eastAsia="Calibri" w:cs="Arial"/>
          <w:snapToGrid w:val="0"/>
          <w:szCs w:val="24"/>
        </w:rPr>
      </w:pPr>
      <w:r w:rsidRPr="00947E7B">
        <w:rPr>
          <w:rFonts w:eastAsia="Calibri" w:cs="Arial"/>
          <w:snapToGrid w:val="0"/>
          <w:szCs w:val="24"/>
        </w:rPr>
        <w:t xml:space="preserve">Trusts must ensure that only invoices for the drug procurement costs of </w:t>
      </w:r>
      <w:r w:rsidR="00947E7B" w:rsidRPr="00947E7B">
        <w:rPr>
          <w:rFonts w:eastAsia="Times New Roman" w:cs="Arial"/>
          <w:snapToGrid w:val="0"/>
          <w:szCs w:val="24"/>
        </w:rPr>
        <w:t>larotrectinib</w:t>
      </w:r>
      <w:r w:rsidRPr="00947E7B">
        <w:rPr>
          <w:rFonts w:eastAsia="Calibri" w:cs="Arial"/>
          <w:snapToGrid w:val="0"/>
          <w:szCs w:val="24"/>
        </w:rPr>
        <w:t xml:space="preserve"> in this indication are directed to the CDF and that they are also submitting complete and accurate information via the CDF minimum dataset (MDS).</w:t>
      </w:r>
    </w:p>
    <w:p w14:paraId="2028D3ED" w14:textId="77777777" w:rsidR="0016296D" w:rsidRPr="0016296D" w:rsidRDefault="0016296D" w:rsidP="00F34956">
      <w:pPr>
        <w:widowControl w:val="0"/>
        <w:numPr>
          <w:ilvl w:val="0"/>
          <w:numId w:val="1"/>
        </w:numPr>
        <w:spacing w:after="0" w:line="240" w:lineRule="auto"/>
        <w:rPr>
          <w:rFonts w:eastAsia="Calibri" w:cs="Arial"/>
          <w:snapToGrid w:val="0"/>
          <w:szCs w:val="24"/>
        </w:rPr>
      </w:pPr>
      <w:r w:rsidRPr="0016296D">
        <w:rPr>
          <w:rFonts w:eastAsia="Calibri" w:cs="Arial"/>
          <w:snapToGrid w:val="0"/>
          <w:szCs w:val="24"/>
        </w:rPr>
        <w:t>In line with the terms and conditions included in the NHS Standard Contract and as per the agreement that Cancer Services are commissioned with Trusts, Schedule 6a Reporting Requirements for drugs will apply. Payment of Trust invoices will be contingent on the completion of the MDS record and this information being made available in a timely way.</w:t>
      </w:r>
    </w:p>
    <w:p w14:paraId="5956F55A" w14:textId="77777777" w:rsidR="0016296D" w:rsidRPr="0016296D" w:rsidRDefault="0016296D" w:rsidP="00F34956">
      <w:pPr>
        <w:widowControl w:val="0"/>
        <w:numPr>
          <w:ilvl w:val="0"/>
          <w:numId w:val="1"/>
        </w:numPr>
        <w:spacing w:after="0" w:line="240" w:lineRule="auto"/>
        <w:rPr>
          <w:rFonts w:eastAsia="Calibri" w:cs="Arial"/>
          <w:snapToGrid w:val="0"/>
          <w:szCs w:val="24"/>
        </w:rPr>
      </w:pPr>
      <w:r w:rsidRPr="0016296D">
        <w:rPr>
          <w:rFonts w:eastAsia="Calibri" w:cs="Arial"/>
          <w:snapToGrid w:val="0"/>
          <w:szCs w:val="24"/>
        </w:rPr>
        <w:t xml:space="preserve">Trusts must ensure they are registering </w:t>
      </w:r>
      <w:r w:rsidR="00947E7B" w:rsidRPr="00947E7B">
        <w:rPr>
          <w:rFonts w:eastAsia="Calibri" w:cs="Arial"/>
          <w:snapToGrid w:val="0"/>
          <w:szCs w:val="24"/>
        </w:rPr>
        <w:t>larotrectinib</w:t>
      </w:r>
      <w:r w:rsidRPr="0016296D">
        <w:rPr>
          <w:rFonts w:eastAsia="Calibri" w:cs="Arial"/>
          <w:snapToGrid w:val="0"/>
          <w:szCs w:val="24"/>
        </w:rPr>
        <w:t xml:space="preserve"> use on SACT. The SACT dataset is a mandated dataset as part of the Health and Social Care Information Standards. This is listed as a Schedule 6 national information requirement within the NHS Standard Contract.</w:t>
      </w:r>
    </w:p>
    <w:p w14:paraId="780F57C2" w14:textId="77777777" w:rsidR="0016296D" w:rsidRPr="0016296D" w:rsidRDefault="0016296D" w:rsidP="00F34956">
      <w:pPr>
        <w:widowControl w:val="0"/>
        <w:numPr>
          <w:ilvl w:val="0"/>
          <w:numId w:val="1"/>
        </w:numPr>
        <w:spacing w:after="0" w:line="240" w:lineRule="auto"/>
        <w:rPr>
          <w:rFonts w:eastAsia="Calibri" w:cs="Arial"/>
          <w:snapToGrid w:val="0"/>
          <w:szCs w:val="24"/>
        </w:rPr>
      </w:pPr>
      <w:r w:rsidRPr="0016296D">
        <w:rPr>
          <w:rFonts w:eastAsia="Calibri" w:cs="Arial"/>
          <w:snapToGrid w:val="0"/>
          <w:szCs w:val="24"/>
        </w:rPr>
        <w:t xml:space="preserve">Patients must be registered via Blueteq </w:t>
      </w:r>
      <w:r w:rsidRPr="00947E7B">
        <w:rPr>
          <w:rFonts w:eastAsia="Calibri" w:cs="Arial"/>
          <w:snapToGrid w:val="0"/>
          <w:szCs w:val="24"/>
        </w:rPr>
        <w:t>(</w:t>
      </w:r>
      <w:r w:rsidR="00947E7B" w:rsidRPr="00947E7B">
        <w:rPr>
          <w:rFonts w:eastAsia="Calibri" w:cs="Arial"/>
          <w:snapToGrid w:val="0"/>
          <w:szCs w:val="24"/>
        </w:rPr>
        <w:t>LAR1</w:t>
      </w:r>
      <w:r w:rsidRPr="00947E7B">
        <w:rPr>
          <w:rFonts w:eastAsia="Calibri" w:cs="Arial"/>
          <w:snapToGrid w:val="0"/>
          <w:szCs w:val="24"/>
        </w:rPr>
        <w:t>)</w:t>
      </w:r>
      <w:r w:rsidRPr="0016296D">
        <w:rPr>
          <w:rFonts w:eastAsia="Calibri" w:cs="Arial"/>
          <w:snapToGrid w:val="0"/>
          <w:color w:val="FF0000"/>
          <w:szCs w:val="24"/>
        </w:rPr>
        <w:t xml:space="preserve"> </w:t>
      </w:r>
      <w:r w:rsidRPr="0016296D">
        <w:rPr>
          <w:rFonts w:eastAsia="Calibri" w:cs="Arial"/>
          <w:snapToGrid w:val="0"/>
          <w:szCs w:val="24"/>
        </w:rPr>
        <w:t>and meet the clinical criteria on the registration form.</w:t>
      </w:r>
    </w:p>
    <w:p w14:paraId="7FA6940D" w14:textId="77777777" w:rsidR="0016296D" w:rsidRPr="0016296D" w:rsidRDefault="0016296D" w:rsidP="00F34956">
      <w:pPr>
        <w:widowControl w:val="0"/>
        <w:numPr>
          <w:ilvl w:val="0"/>
          <w:numId w:val="1"/>
        </w:numPr>
        <w:snapToGrid w:val="0"/>
        <w:spacing w:after="0" w:line="240" w:lineRule="auto"/>
        <w:rPr>
          <w:rFonts w:eastAsia="Calibri" w:cs="Arial"/>
          <w:snapToGrid w:val="0"/>
          <w:szCs w:val="24"/>
        </w:rPr>
      </w:pPr>
      <w:r w:rsidRPr="0016296D">
        <w:rPr>
          <w:rFonts w:eastAsia="Calibri" w:cs="Arial"/>
          <w:b/>
          <w:snapToGrid w:val="0"/>
          <w:szCs w:val="24"/>
        </w:rPr>
        <w:t>Payment of Trust invoices will be contingent on Blueteq registration, the full SACT and CDF MDS record applicable to the drug being completed and this information being made available in a timely way.</w:t>
      </w:r>
    </w:p>
    <w:p w14:paraId="348AAA30" w14:textId="77777777" w:rsidR="0016296D" w:rsidRPr="0016296D" w:rsidRDefault="0016296D" w:rsidP="00F34956">
      <w:pPr>
        <w:widowControl w:val="0"/>
        <w:numPr>
          <w:ilvl w:val="0"/>
          <w:numId w:val="1"/>
        </w:numPr>
        <w:snapToGrid w:val="0"/>
        <w:spacing w:after="0" w:line="240" w:lineRule="auto"/>
        <w:rPr>
          <w:rFonts w:eastAsia="Calibri" w:cs="Arial"/>
          <w:snapToGrid w:val="0"/>
          <w:szCs w:val="24"/>
        </w:rPr>
      </w:pPr>
      <w:r w:rsidRPr="0016296D">
        <w:rPr>
          <w:rFonts w:eastAsia="Calibri" w:cs="Arial"/>
          <w:snapToGrid w:val="0"/>
          <w:szCs w:val="24"/>
        </w:rPr>
        <w:t>Trusts must ensure that local governance aspects (e.g. technical issues, education &amp; training, patient information) have been identified and addressed for all staff groups (as appropriate) in order to permit the safe delivery of this therapy.</w:t>
      </w:r>
    </w:p>
    <w:p w14:paraId="60DEB46A" w14:textId="77777777" w:rsidR="0016296D" w:rsidRPr="0016296D" w:rsidRDefault="0016296D" w:rsidP="00F34956">
      <w:pPr>
        <w:widowControl w:val="0"/>
        <w:spacing w:after="0" w:line="240" w:lineRule="auto"/>
        <w:rPr>
          <w:rFonts w:eastAsia="Calibri" w:cs="Arial"/>
          <w:szCs w:val="24"/>
        </w:rPr>
      </w:pPr>
    </w:p>
    <w:p w14:paraId="5ABC1DA6" w14:textId="39795783" w:rsidR="0016296D" w:rsidRPr="0016296D" w:rsidRDefault="00947E7B" w:rsidP="00F34956">
      <w:pPr>
        <w:widowControl w:val="0"/>
        <w:spacing w:after="0" w:line="240" w:lineRule="auto"/>
        <w:rPr>
          <w:rFonts w:eastAsia="Calibri" w:cs="Arial"/>
          <w:szCs w:val="24"/>
        </w:rPr>
      </w:pPr>
      <w:r>
        <w:rPr>
          <w:rFonts w:eastAsia="Calibri" w:cs="Arial"/>
          <w:szCs w:val="24"/>
        </w:rPr>
        <w:t>Trusts should refer to the CAP portal</w:t>
      </w:r>
      <w:r w:rsidR="007E4374">
        <w:rPr>
          <w:rFonts w:eastAsia="Calibri" w:cs="Arial"/>
          <w:szCs w:val="24"/>
        </w:rPr>
        <w:t xml:space="preserve"> for further information on the PAS price.</w:t>
      </w:r>
      <w:r w:rsidR="007E4374" w:rsidRPr="0016296D">
        <w:rPr>
          <w:rFonts w:eastAsia="Calibri" w:cs="Arial"/>
          <w:szCs w:val="24"/>
        </w:rPr>
        <w:t xml:space="preserve"> </w:t>
      </w:r>
      <w:r w:rsidR="007E4374">
        <w:rPr>
          <w:rFonts w:eastAsia="Calibri" w:cs="Arial"/>
          <w:szCs w:val="24"/>
        </w:rPr>
        <w:t xml:space="preserve">The CAP portal is available at </w:t>
      </w:r>
      <w:hyperlink r:id="rId13" w:history="1">
        <w:r w:rsidR="004017DD" w:rsidRPr="00256C77">
          <w:rPr>
            <w:rStyle w:val="Hyperlink"/>
          </w:rPr>
          <w:t>https://nhsengland.sharefile.eu/Authentication/Login</w:t>
        </w:r>
      </w:hyperlink>
      <w:r w:rsidR="007E4374">
        <w:t xml:space="preserve"> </w:t>
      </w:r>
      <w:r>
        <w:rPr>
          <w:rFonts w:eastAsia="Calibri" w:cs="Arial"/>
          <w:szCs w:val="24"/>
        </w:rPr>
        <w:t xml:space="preserve"> </w:t>
      </w:r>
    </w:p>
    <w:p w14:paraId="7DCA4CA8" w14:textId="77777777" w:rsidR="0016296D" w:rsidRPr="0016296D" w:rsidRDefault="0016296D" w:rsidP="00F34956">
      <w:pPr>
        <w:widowControl w:val="0"/>
        <w:spacing w:after="0" w:line="240" w:lineRule="auto"/>
        <w:rPr>
          <w:rFonts w:eastAsia="Calibri" w:cs="Arial"/>
          <w:szCs w:val="24"/>
        </w:rPr>
      </w:pPr>
    </w:p>
    <w:p w14:paraId="54EBC3B0" w14:textId="77777777" w:rsidR="0016296D" w:rsidRPr="0016296D" w:rsidRDefault="0016296D" w:rsidP="00F34956">
      <w:pPr>
        <w:widowControl w:val="0"/>
        <w:spacing w:after="0" w:line="240" w:lineRule="auto"/>
        <w:rPr>
          <w:rFonts w:eastAsia="Times New Roman" w:cs="Arial"/>
          <w:snapToGrid w:val="0"/>
          <w:szCs w:val="24"/>
        </w:rPr>
      </w:pPr>
      <w:r w:rsidRPr="0016296D">
        <w:rPr>
          <w:rFonts w:eastAsia="Times New Roman" w:cs="Arial"/>
          <w:snapToGrid w:val="0"/>
          <w:szCs w:val="24"/>
        </w:rPr>
        <w:t>I would be grateful if you could cascade this information to relevant clinical teams within your organisation to support the consistent adoption of the policy nationally.</w:t>
      </w:r>
    </w:p>
    <w:p w14:paraId="73BF1E1C" w14:textId="77777777" w:rsidR="0016296D" w:rsidRPr="0016296D" w:rsidRDefault="0016296D" w:rsidP="00F34956">
      <w:pPr>
        <w:widowControl w:val="0"/>
        <w:spacing w:after="0" w:line="240" w:lineRule="auto"/>
        <w:rPr>
          <w:rFonts w:eastAsia="Times New Roman" w:cs="Arial"/>
          <w:snapToGrid w:val="0"/>
          <w:szCs w:val="24"/>
        </w:rPr>
      </w:pPr>
    </w:p>
    <w:p w14:paraId="05F31CF3" w14:textId="77777777" w:rsidR="0016296D" w:rsidRPr="0016296D" w:rsidRDefault="0016296D" w:rsidP="00F34956">
      <w:pPr>
        <w:widowControl w:val="0"/>
        <w:spacing w:after="0" w:line="240" w:lineRule="auto"/>
        <w:rPr>
          <w:rFonts w:eastAsia="Times New Roman" w:cs="Arial"/>
          <w:snapToGrid w:val="0"/>
          <w:szCs w:val="24"/>
        </w:rPr>
      </w:pPr>
      <w:r w:rsidRPr="0016296D">
        <w:rPr>
          <w:rFonts w:eastAsia="Times New Roman" w:cs="Arial"/>
          <w:snapToGrid w:val="0"/>
          <w:szCs w:val="24"/>
        </w:rPr>
        <w:t>With best wishes</w:t>
      </w:r>
    </w:p>
    <w:p w14:paraId="5AAA44A8" w14:textId="77777777" w:rsidR="0016296D" w:rsidRPr="0016296D" w:rsidRDefault="0016296D" w:rsidP="00F34956">
      <w:pPr>
        <w:widowControl w:val="0"/>
        <w:spacing w:after="0" w:line="240" w:lineRule="auto"/>
        <w:rPr>
          <w:rFonts w:eastAsia="Times New Roman" w:cs="Arial"/>
          <w:snapToGrid w:val="0"/>
          <w:szCs w:val="24"/>
        </w:rPr>
      </w:pPr>
    </w:p>
    <w:p w14:paraId="5118CB94" w14:textId="77777777" w:rsidR="0016296D" w:rsidRPr="0016296D" w:rsidRDefault="0016296D" w:rsidP="00F34956">
      <w:pPr>
        <w:widowControl w:val="0"/>
        <w:spacing w:after="0" w:line="240" w:lineRule="auto"/>
        <w:rPr>
          <w:rFonts w:eastAsia="Times New Roman" w:cs="Arial"/>
          <w:snapToGrid w:val="0"/>
          <w:szCs w:val="24"/>
        </w:rPr>
      </w:pPr>
      <w:r w:rsidRPr="0016296D">
        <w:rPr>
          <w:rFonts w:eastAsia="Times New Roman" w:cs="Arial"/>
          <w:snapToGrid w:val="0"/>
          <w:szCs w:val="24"/>
        </w:rPr>
        <w:t>&lt;insert name and title&gt;</w:t>
      </w:r>
    </w:p>
    <w:p w14:paraId="3F46D1D8" w14:textId="77777777" w:rsidR="0016296D" w:rsidRPr="0016296D" w:rsidRDefault="0016296D" w:rsidP="0016296D">
      <w:pPr>
        <w:widowControl w:val="0"/>
        <w:spacing w:after="0" w:line="240" w:lineRule="auto"/>
        <w:rPr>
          <w:rFonts w:eastAsia="Times New Roman" w:cs="Arial"/>
          <w:snapToGrid w:val="0"/>
          <w:szCs w:val="24"/>
        </w:rPr>
      </w:pPr>
    </w:p>
    <w:p w14:paraId="1AED2696" w14:textId="77777777" w:rsidR="0016296D" w:rsidRPr="0016296D" w:rsidRDefault="0016296D" w:rsidP="0016296D">
      <w:pPr>
        <w:widowControl w:val="0"/>
        <w:spacing w:after="0" w:line="240" w:lineRule="auto"/>
        <w:rPr>
          <w:rFonts w:eastAsia="Times New Roman" w:cs="Arial"/>
          <w:snapToGrid w:val="0"/>
          <w:szCs w:val="24"/>
        </w:rPr>
      </w:pPr>
    </w:p>
    <w:p w14:paraId="16EDF72D" w14:textId="77777777" w:rsidR="0016296D" w:rsidRPr="0016296D" w:rsidRDefault="0016296D" w:rsidP="0016296D">
      <w:pPr>
        <w:widowControl w:val="0"/>
        <w:spacing w:after="0" w:line="240" w:lineRule="auto"/>
        <w:rPr>
          <w:rFonts w:eastAsia="Times New Roman" w:cs="Arial"/>
          <w:snapToGrid w:val="0"/>
          <w:szCs w:val="24"/>
        </w:rPr>
      </w:pPr>
      <w:r w:rsidRPr="0016296D">
        <w:rPr>
          <w:rFonts w:eastAsia="Times New Roman" w:cs="Arial"/>
          <w:snapToGrid w:val="0"/>
          <w:szCs w:val="24"/>
        </w:rPr>
        <w:t>Cc</w:t>
      </w:r>
      <w:r w:rsidRPr="0016296D">
        <w:rPr>
          <w:rFonts w:eastAsia="Times New Roman" w:cs="Arial"/>
          <w:snapToGrid w:val="0"/>
          <w:szCs w:val="24"/>
        </w:rPr>
        <w:tab/>
        <w:t>Provider Chief Executive</w:t>
      </w:r>
    </w:p>
    <w:p w14:paraId="4230330B" w14:textId="77777777" w:rsidR="0016296D" w:rsidRDefault="0016296D" w:rsidP="0016296D">
      <w:pPr>
        <w:widowControl w:val="0"/>
        <w:spacing w:after="0" w:line="240" w:lineRule="auto"/>
        <w:rPr>
          <w:rFonts w:eastAsia="Times New Roman" w:cs="Arial"/>
          <w:snapToGrid w:val="0"/>
          <w:szCs w:val="24"/>
        </w:rPr>
      </w:pPr>
      <w:r w:rsidRPr="0016296D">
        <w:rPr>
          <w:rFonts w:eastAsia="Times New Roman" w:cs="Arial"/>
          <w:snapToGrid w:val="0"/>
          <w:szCs w:val="24"/>
        </w:rPr>
        <w:tab/>
        <w:t>Provider Chief Pharmacist</w:t>
      </w:r>
    </w:p>
    <w:p w14:paraId="62C81EFA" w14:textId="77777777" w:rsidR="00C55209" w:rsidRDefault="00C55209" w:rsidP="0016296D">
      <w:pPr>
        <w:widowControl w:val="0"/>
        <w:spacing w:after="0" w:line="240" w:lineRule="auto"/>
        <w:rPr>
          <w:rFonts w:eastAsia="Calibri" w:cs="Arial"/>
          <w:b/>
          <w:snapToGrid w:val="0"/>
          <w:szCs w:val="24"/>
        </w:rPr>
      </w:pPr>
    </w:p>
    <w:p w14:paraId="6C13FC36" w14:textId="77777777" w:rsidR="007C703A" w:rsidRDefault="007C703A" w:rsidP="0016296D">
      <w:pPr>
        <w:widowControl w:val="0"/>
        <w:spacing w:after="0" w:line="240" w:lineRule="auto"/>
        <w:rPr>
          <w:rFonts w:eastAsia="Calibri" w:cs="Arial"/>
          <w:b/>
          <w:snapToGrid w:val="0"/>
          <w:szCs w:val="24"/>
          <w:u w:val="single"/>
        </w:rPr>
      </w:pPr>
    </w:p>
    <w:p w14:paraId="6733672A" w14:textId="448CE402" w:rsidR="00745434" w:rsidRDefault="00745434" w:rsidP="0016296D">
      <w:pPr>
        <w:widowControl w:val="0"/>
        <w:spacing w:after="0" w:line="240" w:lineRule="auto"/>
        <w:rPr>
          <w:rFonts w:eastAsia="Calibri" w:cs="Arial"/>
          <w:b/>
          <w:snapToGrid w:val="0"/>
          <w:szCs w:val="24"/>
          <w:u w:val="single"/>
        </w:rPr>
      </w:pPr>
      <w:r>
        <w:rPr>
          <w:rFonts w:eastAsia="Calibri" w:cs="Arial"/>
          <w:b/>
          <w:snapToGrid w:val="0"/>
          <w:szCs w:val="24"/>
          <w:u w:val="single"/>
        </w:rPr>
        <w:t>Genomic testing for NTRK gene fusions implementation plan</w:t>
      </w:r>
    </w:p>
    <w:p w14:paraId="3A099E7C" w14:textId="77777777" w:rsidR="00745434" w:rsidRPr="00745434" w:rsidRDefault="00745434" w:rsidP="0016296D">
      <w:pPr>
        <w:widowControl w:val="0"/>
        <w:spacing w:after="0" w:line="240" w:lineRule="auto"/>
        <w:rPr>
          <w:rFonts w:eastAsia="Calibri" w:cs="Arial"/>
          <w:b/>
          <w:snapToGrid w:val="0"/>
          <w:szCs w:val="24"/>
          <w:u w:val="single"/>
        </w:rPr>
      </w:pPr>
    </w:p>
    <w:p w14:paraId="7EF046D7" w14:textId="7AEDD52F" w:rsidR="00581F9B" w:rsidRDefault="00581F9B" w:rsidP="00581F9B">
      <w:pPr>
        <w:rPr>
          <w:rFonts w:cs="Arial"/>
        </w:rPr>
      </w:pPr>
    </w:p>
    <w:p w14:paraId="64A1C86B" w14:textId="7F5FB4E8" w:rsidR="00581F9B" w:rsidRDefault="00581F9B" w:rsidP="00581F9B">
      <w:pPr>
        <w:pStyle w:val="ListParagraph"/>
        <w:numPr>
          <w:ilvl w:val="0"/>
          <w:numId w:val="5"/>
        </w:numPr>
        <w:spacing w:after="0" w:line="240" w:lineRule="auto"/>
        <w:ind w:left="426" w:hanging="426"/>
        <w:rPr>
          <w:rFonts w:cs="Arial"/>
        </w:rPr>
      </w:pPr>
      <w:r>
        <w:rPr>
          <w:rFonts w:cs="Arial"/>
        </w:rPr>
        <w:t xml:space="preserve">Determining eligibility for </w:t>
      </w:r>
      <w:proofErr w:type="spellStart"/>
      <w:r>
        <w:rPr>
          <w:rFonts w:cs="Arial"/>
        </w:rPr>
        <w:t>larotrectinib</w:t>
      </w:r>
      <w:proofErr w:type="spellEnd"/>
      <w:r>
        <w:rPr>
          <w:rFonts w:cs="Arial"/>
        </w:rPr>
        <w:t xml:space="preserve"> relies on detecting the presence of the NTRK gene fusion via a genomic test. The genomic testing will be undertaken by the NHS Genomics Laboratory Hubs (GLHs). The</w:t>
      </w:r>
      <w:r w:rsidRPr="008F3863">
        <w:rPr>
          <w:rFonts w:cs="Arial"/>
        </w:rPr>
        <w:t xml:space="preserve"> aim </w:t>
      </w:r>
      <w:r>
        <w:rPr>
          <w:rFonts w:cs="Arial"/>
        </w:rPr>
        <w:t>is</w:t>
      </w:r>
      <w:r w:rsidRPr="008F3863">
        <w:rPr>
          <w:rFonts w:cs="Arial"/>
        </w:rPr>
        <w:t xml:space="preserve"> to </w:t>
      </w:r>
      <w:r>
        <w:rPr>
          <w:rFonts w:cs="Arial"/>
        </w:rPr>
        <w:t>achieve</w:t>
      </w:r>
      <w:r w:rsidRPr="008F3863">
        <w:rPr>
          <w:rFonts w:cs="Arial"/>
        </w:rPr>
        <w:t xml:space="preserve"> a testing rate of 30,000 patients </w:t>
      </w:r>
      <w:r>
        <w:rPr>
          <w:rFonts w:cs="Arial"/>
        </w:rPr>
        <w:t xml:space="preserve">per year </w:t>
      </w:r>
      <w:r w:rsidRPr="008F3863">
        <w:rPr>
          <w:rFonts w:cs="Arial"/>
        </w:rPr>
        <w:t>by the end of 2020/21, which would capture all those solid tumour patients who were potentially eligible for the drugs at the point at which standard therapies had failed.</w:t>
      </w:r>
    </w:p>
    <w:p w14:paraId="6DC5ACE9" w14:textId="0F031CA8" w:rsidR="00581F9B" w:rsidRDefault="00581F9B" w:rsidP="0079752A">
      <w:pPr>
        <w:pStyle w:val="ListParagraph"/>
        <w:spacing w:after="0" w:line="240" w:lineRule="auto"/>
        <w:ind w:left="426"/>
        <w:rPr>
          <w:rFonts w:cs="Arial"/>
        </w:rPr>
      </w:pPr>
    </w:p>
    <w:p w14:paraId="70A8756B" w14:textId="7FAAF3F5" w:rsidR="00581F9B" w:rsidRPr="008F3863" w:rsidRDefault="00581F9B" w:rsidP="00581F9B">
      <w:pPr>
        <w:pStyle w:val="ListParagraph"/>
        <w:numPr>
          <w:ilvl w:val="0"/>
          <w:numId w:val="5"/>
        </w:numPr>
        <w:spacing w:after="0" w:line="240" w:lineRule="auto"/>
        <w:ind w:left="426" w:hanging="426"/>
        <w:rPr>
          <w:rFonts w:cs="Arial"/>
        </w:rPr>
      </w:pPr>
      <w:r>
        <w:rPr>
          <w:rFonts w:cs="Arial"/>
        </w:rPr>
        <w:t>However, currently due to the impact of the</w:t>
      </w:r>
      <w:r w:rsidRPr="008F3863">
        <w:rPr>
          <w:rFonts w:cs="Arial"/>
        </w:rPr>
        <w:t xml:space="preserve"> </w:t>
      </w:r>
      <w:r>
        <w:rPr>
          <w:rFonts w:cs="Arial"/>
        </w:rPr>
        <w:t>COVID</w:t>
      </w:r>
      <w:r w:rsidRPr="008F3863">
        <w:rPr>
          <w:rFonts w:cs="Arial"/>
        </w:rPr>
        <w:t>-19 pandemic</w:t>
      </w:r>
      <w:r>
        <w:rPr>
          <w:rFonts w:cs="Arial"/>
        </w:rPr>
        <w:t xml:space="preserve"> the NHS GLHs have a reduced testing capacity due to the redeployment of staff and equipment to support COVID-19 testing.  The deployment has resulted in the slow down or suspension of developmental work to establish NTRK testing capability and reduced testing capacity where development work had already been completed.  </w:t>
      </w:r>
    </w:p>
    <w:p w14:paraId="09AD72C6" w14:textId="77777777" w:rsidR="00581F9B" w:rsidRDefault="00581F9B" w:rsidP="00581F9B">
      <w:pPr>
        <w:pStyle w:val="ListParagraph"/>
        <w:ind w:left="0"/>
        <w:rPr>
          <w:rFonts w:cs="Arial"/>
        </w:rPr>
      </w:pPr>
    </w:p>
    <w:p w14:paraId="5E18D4CB" w14:textId="7A63F2F2" w:rsidR="00581F9B" w:rsidRDefault="00581F9B" w:rsidP="00581F9B">
      <w:pPr>
        <w:pStyle w:val="ListParagraph"/>
        <w:numPr>
          <w:ilvl w:val="0"/>
          <w:numId w:val="5"/>
        </w:numPr>
        <w:spacing w:after="0" w:line="240" w:lineRule="auto"/>
        <w:ind w:left="426" w:hanging="426"/>
        <w:rPr>
          <w:rFonts w:cs="Arial"/>
        </w:rPr>
      </w:pPr>
      <w:r>
        <w:rPr>
          <w:rFonts w:cs="Arial"/>
        </w:rPr>
        <w:t xml:space="preserve">A phased implementation plan will be implemented to utilise the available testing capacity where it will have the most impact. Table 1 outlines the patients who will be eligible for testing in phase 1. </w:t>
      </w:r>
    </w:p>
    <w:p w14:paraId="11186A08" w14:textId="77777777" w:rsidR="00581F9B" w:rsidRPr="00581F9B" w:rsidRDefault="00581F9B" w:rsidP="0079752A">
      <w:pPr>
        <w:rPr>
          <w:rFonts w:cs="Arial"/>
        </w:rPr>
      </w:pPr>
    </w:p>
    <w:p w14:paraId="212FBACE" w14:textId="29B4657E" w:rsidR="002E2E2E" w:rsidRDefault="00581F9B" w:rsidP="002E2E2E">
      <w:pPr>
        <w:spacing w:after="0"/>
        <w:rPr>
          <w:rFonts w:cs="Arial"/>
          <w:b/>
          <w:u w:val="single"/>
        </w:rPr>
      </w:pPr>
      <w:r>
        <w:rPr>
          <w:rFonts w:cs="Arial"/>
          <w:b/>
          <w:u w:val="single"/>
        </w:rPr>
        <w:t>Table 1: d</w:t>
      </w:r>
      <w:r w:rsidR="002E2E2E">
        <w:rPr>
          <w:rFonts w:cs="Arial"/>
          <w:b/>
          <w:u w:val="single"/>
        </w:rPr>
        <w:t>etailed testing plan for phase 1</w:t>
      </w:r>
    </w:p>
    <w:p w14:paraId="3F1E30AD" w14:textId="77777777" w:rsidR="002E2E2E" w:rsidRDefault="002E2E2E" w:rsidP="002E2E2E">
      <w:pPr>
        <w:spacing w:after="0"/>
        <w:rPr>
          <w:rFonts w:cs="Arial"/>
          <w:b/>
          <w:u w:val="single"/>
        </w:rPr>
      </w:pPr>
    </w:p>
    <w:tbl>
      <w:tblPr>
        <w:tblStyle w:val="TableGrid"/>
        <w:tblW w:w="9747" w:type="dxa"/>
        <w:tblInd w:w="0" w:type="dxa"/>
        <w:tblLook w:val="04A0" w:firstRow="1" w:lastRow="0" w:firstColumn="1" w:lastColumn="0" w:noHBand="0" w:noVBand="1"/>
      </w:tblPr>
      <w:tblGrid>
        <w:gridCol w:w="506"/>
        <w:gridCol w:w="9241"/>
      </w:tblGrid>
      <w:tr w:rsidR="002E2E2E" w14:paraId="45356D8B" w14:textId="77777777" w:rsidTr="0079752A">
        <w:trPr>
          <w:trHeight w:val="26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E2D66" w14:textId="77777777" w:rsidR="002E2E2E" w:rsidRDefault="002E2E2E">
            <w:pPr>
              <w:rPr>
                <w:rFonts w:cs="Arial"/>
                <w:sz w:val="20"/>
              </w:rPr>
            </w:pPr>
          </w:p>
        </w:tc>
        <w:tc>
          <w:tcPr>
            <w:tcW w:w="9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05FA5" w14:textId="77777777" w:rsidR="002E2E2E" w:rsidRDefault="002E2E2E">
            <w:pPr>
              <w:rPr>
                <w:rFonts w:cs="Arial"/>
                <w:b/>
                <w:sz w:val="20"/>
              </w:rPr>
            </w:pPr>
            <w:r>
              <w:rPr>
                <w:rFonts w:cs="Arial"/>
                <w:b/>
                <w:sz w:val="20"/>
              </w:rPr>
              <w:t>Testing group</w:t>
            </w:r>
          </w:p>
        </w:tc>
      </w:tr>
      <w:tr w:rsidR="002E2E2E" w14:paraId="64C36957" w14:textId="77777777" w:rsidTr="0079752A">
        <w:trPr>
          <w:trHeight w:val="1077"/>
        </w:trPr>
        <w:tc>
          <w:tcPr>
            <w:tcW w:w="506" w:type="dxa"/>
            <w:tcBorders>
              <w:top w:val="single" w:sz="4" w:space="0" w:color="auto"/>
              <w:left w:val="single" w:sz="4" w:space="0" w:color="auto"/>
              <w:bottom w:val="single" w:sz="4" w:space="0" w:color="auto"/>
              <w:right w:val="single" w:sz="4" w:space="0" w:color="auto"/>
            </w:tcBorders>
            <w:vAlign w:val="center"/>
            <w:hideMark/>
          </w:tcPr>
          <w:p w14:paraId="2DB84C48" w14:textId="77777777" w:rsidR="002E2E2E" w:rsidRDefault="002E2E2E">
            <w:pPr>
              <w:rPr>
                <w:rFonts w:cs="Arial"/>
                <w:sz w:val="20"/>
              </w:rPr>
            </w:pPr>
            <w:r>
              <w:rPr>
                <w:rFonts w:cs="Arial"/>
                <w:sz w:val="20"/>
              </w:rPr>
              <w:t>1</w:t>
            </w:r>
          </w:p>
        </w:tc>
        <w:tc>
          <w:tcPr>
            <w:tcW w:w="9241" w:type="dxa"/>
            <w:tcBorders>
              <w:top w:val="single" w:sz="4" w:space="0" w:color="auto"/>
              <w:left w:val="single" w:sz="4" w:space="0" w:color="auto"/>
              <w:bottom w:val="single" w:sz="4" w:space="0" w:color="auto"/>
              <w:right w:val="single" w:sz="4" w:space="0" w:color="auto"/>
            </w:tcBorders>
            <w:vAlign w:val="center"/>
            <w:hideMark/>
          </w:tcPr>
          <w:p w14:paraId="12533762" w14:textId="77777777" w:rsidR="002E2E2E" w:rsidRDefault="002E2E2E">
            <w:pPr>
              <w:rPr>
                <w:rFonts w:cs="Arial"/>
                <w:sz w:val="20"/>
              </w:rPr>
            </w:pPr>
            <w:r>
              <w:rPr>
                <w:rFonts w:cs="Arial"/>
                <w:sz w:val="20"/>
              </w:rPr>
              <w:t>Four cancers in which NTRK gene fusion incidence is very high (&gt;90%):</w:t>
            </w:r>
          </w:p>
          <w:p w14:paraId="1D805A2F" w14:textId="77777777" w:rsidR="002E2E2E" w:rsidRDefault="002E2E2E" w:rsidP="002E2E2E">
            <w:pPr>
              <w:pStyle w:val="ListParagraph"/>
              <w:numPr>
                <w:ilvl w:val="0"/>
                <w:numId w:val="4"/>
              </w:numPr>
              <w:ind w:left="172" w:hanging="142"/>
              <w:rPr>
                <w:rFonts w:cs="Arial"/>
                <w:sz w:val="20"/>
              </w:rPr>
            </w:pPr>
            <w:r>
              <w:rPr>
                <w:rFonts w:cs="Arial"/>
                <w:sz w:val="20"/>
              </w:rPr>
              <w:t>Infantile fibrosarcoma</w:t>
            </w:r>
          </w:p>
          <w:p w14:paraId="60107DA9" w14:textId="77777777" w:rsidR="002E2E2E" w:rsidRDefault="002E2E2E" w:rsidP="002E2E2E">
            <w:pPr>
              <w:pStyle w:val="ListParagraph"/>
              <w:numPr>
                <w:ilvl w:val="0"/>
                <w:numId w:val="4"/>
              </w:numPr>
              <w:ind w:left="172" w:hanging="142"/>
              <w:rPr>
                <w:rFonts w:cs="Arial"/>
                <w:sz w:val="20"/>
              </w:rPr>
            </w:pPr>
            <w:r>
              <w:rPr>
                <w:rFonts w:cs="Arial"/>
                <w:sz w:val="20"/>
              </w:rPr>
              <w:t xml:space="preserve">Congenital </w:t>
            </w:r>
            <w:proofErr w:type="spellStart"/>
            <w:r>
              <w:rPr>
                <w:rFonts w:cs="Arial"/>
                <w:sz w:val="20"/>
              </w:rPr>
              <w:t>mesoblastic</w:t>
            </w:r>
            <w:proofErr w:type="spellEnd"/>
            <w:r>
              <w:rPr>
                <w:rFonts w:cs="Arial"/>
                <w:sz w:val="20"/>
              </w:rPr>
              <w:t xml:space="preserve"> nephroma</w:t>
            </w:r>
          </w:p>
          <w:p w14:paraId="73B1AC42" w14:textId="77777777" w:rsidR="002E2E2E" w:rsidRDefault="002E2E2E" w:rsidP="002E2E2E">
            <w:pPr>
              <w:pStyle w:val="ListParagraph"/>
              <w:numPr>
                <w:ilvl w:val="0"/>
                <w:numId w:val="4"/>
              </w:numPr>
              <w:ind w:left="172" w:hanging="142"/>
              <w:rPr>
                <w:rFonts w:cs="Arial"/>
                <w:sz w:val="20"/>
              </w:rPr>
            </w:pPr>
            <w:r>
              <w:rPr>
                <w:rFonts w:cs="Arial"/>
                <w:sz w:val="20"/>
              </w:rPr>
              <w:t>Mammary-variant salivary gland cancer</w:t>
            </w:r>
          </w:p>
          <w:p w14:paraId="022A6773" w14:textId="77777777" w:rsidR="002E2E2E" w:rsidRDefault="002E2E2E" w:rsidP="002E2E2E">
            <w:pPr>
              <w:pStyle w:val="ListParagraph"/>
              <w:numPr>
                <w:ilvl w:val="0"/>
                <w:numId w:val="4"/>
              </w:numPr>
              <w:ind w:left="172" w:hanging="142"/>
              <w:rPr>
                <w:rFonts w:cs="Arial"/>
                <w:sz w:val="20"/>
              </w:rPr>
            </w:pPr>
            <w:r>
              <w:rPr>
                <w:rFonts w:cs="Arial"/>
                <w:sz w:val="20"/>
              </w:rPr>
              <w:t>Secretory breast cancer</w:t>
            </w:r>
          </w:p>
        </w:tc>
      </w:tr>
      <w:tr w:rsidR="002E2E2E" w14:paraId="0565BB78" w14:textId="77777777" w:rsidTr="0079752A">
        <w:trPr>
          <w:trHeight w:val="882"/>
        </w:trPr>
        <w:tc>
          <w:tcPr>
            <w:tcW w:w="506" w:type="dxa"/>
            <w:tcBorders>
              <w:top w:val="single" w:sz="4" w:space="0" w:color="auto"/>
              <w:left w:val="single" w:sz="4" w:space="0" w:color="auto"/>
              <w:bottom w:val="single" w:sz="4" w:space="0" w:color="auto"/>
              <w:right w:val="single" w:sz="4" w:space="0" w:color="auto"/>
            </w:tcBorders>
            <w:vAlign w:val="center"/>
            <w:hideMark/>
          </w:tcPr>
          <w:p w14:paraId="37AD1DF3" w14:textId="77777777" w:rsidR="002E2E2E" w:rsidRDefault="002E2E2E">
            <w:pPr>
              <w:rPr>
                <w:rFonts w:cs="Arial"/>
                <w:sz w:val="20"/>
              </w:rPr>
            </w:pPr>
            <w:r>
              <w:rPr>
                <w:rFonts w:cs="Arial"/>
                <w:sz w:val="20"/>
              </w:rPr>
              <w:t>2</w:t>
            </w:r>
          </w:p>
        </w:tc>
        <w:tc>
          <w:tcPr>
            <w:tcW w:w="9241" w:type="dxa"/>
            <w:tcBorders>
              <w:top w:val="single" w:sz="4" w:space="0" w:color="auto"/>
              <w:left w:val="single" w:sz="4" w:space="0" w:color="auto"/>
              <w:bottom w:val="single" w:sz="4" w:space="0" w:color="auto"/>
              <w:right w:val="single" w:sz="4" w:space="0" w:color="auto"/>
            </w:tcBorders>
            <w:vAlign w:val="center"/>
            <w:hideMark/>
          </w:tcPr>
          <w:p w14:paraId="0762C9F9" w14:textId="25BE2A11" w:rsidR="002E2E2E" w:rsidRDefault="002E2E2E">
            <w:pPr>
              <w:rPr>
                <w:rFonts w:cs="Arial"/>
                <w:sz w:val="20"/>
              </w:rPr>
            </w:pPr>
            <w:r>
              <w:rPr>
                <w:rFonts w:cs="Arial"/>
                <w:sz w:val="20"/>
              </w:rPr>
              <w:t>Three cancers in which NTRK</w:t>
            </w:r>
            <w:r w:rsidR="000E61C9">
              <w:rPr>
                <w:rFonts w:cs="Arial"/>
                <w:sz w:val="20"/>
              </w:rPr>
              <w:t xml:space="preserve"> gene fusion</w:t>
            </w:r>
            <w:r>
              <w:rPr>
                <w:rFonts w:cs="Arial"/>
                <w:sz w:val="20"/>
              </w:rPr>
              <w:t xml:space="preserve"> incidence is between 5 and 25%:</w:t>
            </w:r>
          </w:p>
          <w:p w14:paraId="73EB0F00" w14:textId="77777777" w:rsidR="002E2E2E" w:rsidRDefault="002E2E2E" w:rsidP="002E2E2E">
            <w:pPr>
              <w:pStyle w:val="ListParagraph"/>
              <w:numPr>
                <w:ilvl w:val="0"/>
                <w:numId w:val="4"/>
              </w:numPr>
              <w:ind w:left="172" w:hanging="142"/>
              <w:rPr>
                <w:rFonts w:cs="Arial"/>
                <w:sz w:val="20"/>
              </w:rPr>
            </w:pPr>
            <w:r>
              <w:rPr>
                <w:rFonts w:cs="Arial"/>
                <w:sz w:val="20"/>
              </w:rPr>
              <w:t>Gastro-intestinal stromal tumours (GISTs)</w:t>
            </w:r>
          </w:p>
          <w:p w14:paraId="1BAB6006" w14:textId="77777777" w:rsidR="002E2E2E" w:rsidRDefault="002E2E2E" w:rsidP="002E2E2E">
            <w:pPr>
              <w:pStyle w:val="ListParagraph"/>
              <w:numPr>
                <w:ilvl w:val="0"/>
                <w:numId w:val="4"/>
              </w:numPr>
              <w:ind w:left="172" w:hanging="142"/>
              <w:rPr>
                <w:rFonts w:cs="Arial"/>
                <w:sz w:val="20"/>
              </w:rPr>
            </w:pPr>
            <w:r>
              <w:rPr>
                <w:rFonts w:cs="Arial"/>
                <w:sz w:val="20"/>
              </w:rPr>
              <w:t>Thyroid cancers</w:t>
            </w:r>
          </w:p>
          <w:p w14:paraId="188F84BF" w14:textId="77777777" w:rsidR="002E2E2E" w:rsidRDefault="002E2E2E" w:rsidP="002E2E2E">
            <w:pPr>
              <w:pStyle w:val="ListParagraph"/>
              <w:numPr>
                <w:ilvl w:val="0"/>
                <w:numId w:val="4"/>
              </w:numPr>
              <w:ind w:left="172" w:hanging="142"/>
              <w:rPr>
                <w:rFonts w:cs="Arial"/>
                <w:sz w:val="20"/>
              </w:rPr>
            </w:pPr>
            <w:proofErr w:type="spellStart"/>
            <w:r>
              <w:rPr>
                <w:rFonts w:cs="Arial"/>
                <w:sz w:val="20"/>
              </w:rPr>
              <w:t>Spitzoid</w:t>
            </w:r>
            <w:proofErr w:type="spellEnd"/>
            <w:r>
              <w:rPr>
                <w:rFonts w:cs="Arial"/>
                <w:sz w:val="20"/>
              </w:rPr>
              <w:t xml:space="preserve"> neoplasms  </w:t>
            </w:r>
          </w:p>
        </w:tc>
      </w:tr>
      <w:tr w:rsidR="002E2E2E" w14:paraId="65CC608E" w14:textId="77777777" w:rsidTr="0079752A">
        <w:trPr>
          <w:trHeight w:val="270"/>
        </w:trPr>
        <w:tc>
          <w:tcPr>
            <w:tcW w:w="506" w:type="dxa"/>
            <w:tcBorders>
              <w:top w:val="single" w:sz="4" w:space="0" w:color="auto"/>
              <w:left w:val="single" w:sz="4" w:space="0" w:color="auto"/>
              <w:bottom w:val="single" w:sz="4" w:space="0" w:color="auto"/>
              <w:right w:val="single" w:sz="4" w:space="0" w:color="auto"/>
            </w:tcBorders>
            <w:vAlign w:val="center"/>
            <w:hideMark/>
          </w:tcPr>
          <w:p w14:paraId="2AD5A3C4" w14:textId="77777777" w:rsidR="002E2E2E" w:rsidRDefault="002E2E2E">
            <w:pPr>
              <w:rPr>
                <w:rFonts w:cs="Arial"/>
                <w:sz w:val="20"/>
              </w:rPr>
            </w:pPr>
            <w:r>
              <w:rPr>
                <w:rFonts w:cs="Arial"/>
                <w:sz w:val="20"/>
              </w:rPr>
              <w:t>3</w:t>
            </w:r>
          </w:p>
        </w:tc>
        <w:tc>
          <w:tcPr>
            <w:tcW w:w="9241" w:type="dxa"/>
            <w:tcBorders>
              <w:top w:val="single" w:sz="4" w:space="0" w:color="auto"/>
              <w:left w:val="single" w:sz="4" w:space="0" w:color="auto"/>
              <w:bottom w:val="single" w:sz="4" w:space="0" w:color="auto"/>
              <w:right w:val="single" w:sz="4" w:space="0" w:color="auto"/>
            </w:tcBorders>
            <w:vAlign w:val="center"/>
            <w:hideMark/>
          </w:tcPr>
          <w:p w14:paraId="60F86061" w14:textId="77777777" w:rsidR="002E2E2E" w:rsidRDefault="002E2E2E">
            <w:pPr>
              <w:rPr>
                <w:rFonts w:cs="Arial"/>
                <w:sz w:val="20"/>
              </w:rPr>
            </w:pPr>
            <w:r>
              <w:rPr>
                <w:rFonts w:cs="Arial"/>
                <w:sz w:val="20"/>
              </w:rPr>
              <w:t xml:space="preserve">Children (0-16) with solid tumours being treated in Principal Treatment Centres </w:t>
            </w:r>
          </w:p>
        </w:tc>
      </w:tr>
      <w:tr w:rsidR="002E2E2E" w14:paraId="5D2B9652" w14:textId="77777777" w:rsidTr="0079752A">
        <w:trPr>
          <w:trHeight w:val="274"/>
        </w:trPr>
        <w:tc>
          <w:tcPr>
            <w:tcW w:w="506" w:type="dxa"/>
            <w:tcBorders>
              <w:top w:val="single" w:sz="4" w:space="0" w:color="auto"/>
              <w:left w:val="single" w:sz="4" w:space="0" w:color="auto"/>
              <w:bottom w:val="single" w:sz="4" w:space="0" w:color="auto"/>
              <w:right w:val="single" w:sz="4" w:space="0" w:color="auto"/>
            </w:tcBorders>
            <w:vAlign w:val="center"/>
            <w:hideMark/>
          </w:tcPr>
          <w:p w14:paraId="6CA123E4" w14:textId="77777777" w:rsidR="002E2E2E" w:rsidRDefault="002E2E2E">
            <w:pPr>
              <w:rPr>
                <w:rFonts w:cs="Arial"/>
                <w:sz w:val="20"/>
              </w:rPr>
            </w:pPr>
            <w:r>
              <w:rPr>
                <w:rFonts w:cs="Arial"/>
                <w:sz w:val="20"/>
              </w:rPr>
              <w:t>4</w:t>
            </w:r>
          </w:p>
        </w:tc>
        <w:tc>
          <w:tcPr>
            <w:tcW w:w="9241" w:type="dxa"/>
            <w:tcBorders>
              <w:top w:val="single" w:sz="4" w:space="0" w:color="auto"/>
              <w:left w:val="single" w:sz="4" w:space="0" w:color="auto"/>
              <w:bottom w:val="single" w:sz="4" w:space="0" w:color="auto"/>
              <w:right w:val="single" w:sz="4" w:space="0" w:color="auto"/>
            </w:tcBorders>
            <w:vAlign w:val="center"/>
            <w:hideMark/>
          </w:tcPr>
          <w:p w14:paraId="7CEAC8C7" w14:textId="77777777" w:rsidR="002E2E2E" w:rsidRDefault="002E2E2E">
            <w:pPr>
              <w:rPr>
                <w:rFonts w:cs="Arial"/>
                <w:sz w:val="20"/>
              </w:rPr>
            </w:pPr>
            <w:r>
              <w:rPr>
                <w:rFonts w:cs="Arial"/>
                <w:sz w:val="20"/>
              </w:rPr>
              <w:t xml:space="preserve">Teenagers (16-18) with solid tumours </w:t>
            </w:r>
          </w:p>
        </w:tc>
      </w:tr>
      <w:tr w:rsidR="002E2E2E" w14:paraId="7332B94E" w14:textId="77777777" w:rsidTr="0079752A">
        <w:trPr>
          <w:trHeight w:val="410"/>
        </w:trPr>
        <w:tc>
          <w:tcPr>
            <w:tcW w:w="506" w:type="dxa"/>
            <w:tcBorders>
              <w:top w:val="single" w:sz="4" w:space="0" w:color="auto"/>
              <w:left w:val="single" w:sz="4" w:space="0" w:color="auto"/>
              <w:bottom w:val="single" w:sz="4" w:space="0" w:color="auto"/>
              <w:right w:val="single" w:sz="4" w:space="0" w:color="auto"/>
            </w:tcBorders>
            <w:vAlign w:val="center"/>
            <w:hideMark/>
          </w:tcPr>
          <w:p w14:paraId="6C32C1B2" w14:textId="77777777" w:rsidR="002E2E2E" w:rsidRDefault="002E2E2E">
            <w:pPr>
              <w:rPr>
                <w:rFonts w:cs="Arial"/>
                <w:sz w:val="20"/>
              </w:rPr>
            </w:pPr>
            <w:r>
              <w:rPr>
                <w:rFonts w:cs="Arial"/>
                <w:sz w:val="20"/>
              </w:rPr>
              <w:t>5</w:t>
            </w:r>
          </w:p>
        </w:tc>
        <w:tc>
          <w:tcPr>
            <w:tcW w:w="9241" w:type="dxa"/>
            <w:tcBorders>
              <w:top w:val="single" w:sz="4" w:space="0" w:color="auto"/>
              <w:left w:val="single" w:sz="4" w:space="0" w:color="auto"/>
              <w:bottom w:val="single" w:sz="4" w:space="0" w:color="auto"/>
              <w:right w:val="single" w:sz="4" w:space="0" w:color="auto"/>
            </w:tcBorders>
            <w:vAlign w:val="center"/>
            <w:hideMark/>
          </w:tcPr>
          <w:p w14:paraId="723DB7CE" w14:textId="77777777" w:rsidR="002E2E2E" w:rsidRDefault="002E2E2E">
            <w:pPr>
              <w:rPr>
                <w:rFonts w:cs="Arial"/>
                <w:sz w:val="20"/>
              </w:rPr>
            </w:pPr>
            <w:r>
              <w:rPr>
                <w:rFonts w:cs="Arial"/>
                <w:sz w:val="20"/>
              </w:rPr>
              <w:t>Young adults (18-25) with solid tumours</w:t>
            </w:r>
          </w:p>
        </w:tc>
      </w:tr>
    </w:tbl>
    <w:p w14:paraId="4F5419E9" w14:textId="77777777" w:rsidR="002E2E2E" w:rsidRDefault="002E2E2E" w:rsidP="002E2E2E">
      <w:pPr>
        <w:spacing w:after="0" w:line="240" w:lineRule="auto"/>
        <w:rPr>
          <w:rFonts w:cs="Arial"/>
          <w:sz w:val="22"/>
        </w:rPr>
      </w:pPr>
    </w:p>
    <w:p w14:paraId="548070E8" w14:textId="77777777" w:rsidR="002E2E2E" w:rsidRPr="002E2E2E" w:rsidRDefault="002E2E2E" w:rsidP="002E2E2E">
      <w:pPr>
        <w:spacing w:after="0" w:line="240" w:lineRule="auto"/>
        <w:rPr>
          <w:rFonts w:cs="Arial"/>
        </w:rPr>
      </w:pPr>
    </w:p>
    <w:p w14:paraId="50EAC35E" w14:textId="69D48A19" w:rsidR="00581F9B" w:rsidRDefault="00581F9B" w:rsidP="00581F9B">
      <w:pPr>
        <w:pStyle w:val="ListParagraph"/>
        <w:numPr>
          <w:ilvl w:val="0"/>
          <w:numId w:val="5"/>
        </w:numPr>
        <w:spacing w:after="0" w:line="240" w:lineRule="auto"/>
        <w:ind w:left="426" w:hanging="426"/>
        <w:rPr>
          <w:rFonts w:cs="Arial"/>
        </w:rPr>
      </w:pPr>
      <w:r>
        <w:rPr>
          <w:rFonts w:cs="Arial"/>
        </w:rPr>
        <w:t>The genomic testing will be carried out by four Genomic Laboratory Hubs on behalf of the whole country as outlined in Table 2</w:t>
      </w:r>
      <w:r w:rsidR="000E61C9">
        <w:rPr>
          <w:rFonts w:cs="Arial"/>
        </w:rPr>
        <w:t xml:space="preserve"> for phase 1</w:t>
      </w:r>
      <w:r>
        <w:rPr>
          <w:rFonts w:cs="Arial"/>
        </w:rPr>
        <w:t xml:space="preserve">. </w:t>
      </w:r>
      <w:r w:rsidR="007C703A">
        <w:rPr>
          <w:rFonts w:cs="Arial"/>
        </w:rPr>
        <w:t>A document indicating the</w:t>
      </w:r>
      <w:r>
        <w:rPr>
          <w:rFonts w:cs="Arial"/>
        </w:rPr>
        <w:t xml:space="preserve"> providers covered by each GLH geography </w:t>
      </w:r>
      <w:r w:rsidR="007C703A">
        <w:rPr>
          <w:rFonts w:cs="Arial"/>
        </w:rPr>
        <w:t>will be added to this circular as annexe A</w:t>
      </w:r>
      <w:bookmarkStart w:id="0" w:name="_GoBack"/>
      <w:bookmarkEnd w:id="0"/>
      <w:r w:rsidR="007C703A">
        <w:rPr>
          <w:rFonts w:cs="Arial"/>
        </w:rPr>
        <w:t xml:space="preserve"> </w:t>
      </w:r>
      <w:r>
        <w:rPr>
          <w:rFonts w:cs="Arial"/>
        </w:rPr>
        <w:t xml:space="preserve">. </w:t>
      </w:r>
    </w:p>
    <w:p w14:paraId="40241D3C" w14:textId="13EAD931" w:rsidR="00745434" w:rsidRDefault="00745434" w:rsidP="00745434">
      <w:pPr>
        <w:spacing w:after="0" w:line="240" w:lineRule="auto"/>
        <w:rPr>
          <w:rFonts w:cs="Arial"/>
        </w:rPr>
      </w:pPr>
    </w:p>
    <w:p w14:paraId="339AE8BF" w14:textId="58DFA6DA" w:rsidR="007C703A" w:rsidRDefault="007C703A" w:rsidP="00745434">
      <w:pPr>
        <w:spacing w:after="0" w:line="240" w:lineRule="auto"/>
        <w:rPr>
          <w:rFonts w:cs="Arial"/>
        </w:rPr>
      </w:pPr>
    </w:p>
    <w:p w14:paraId="1710CD45" w14:textId="7A9F7BE5" w:rsidR="007C703A" w:rsidRDefault="007C703A" w:rsidP="00745434">
      <w:pPr>
        <w:spacing w:after="0" w:line="240" w:lineRule="auto"/>
        <w:rPr>
          <w:rFonts w:cs="Arial"/>
        </w:rPr>
      </w:pPr>
    </w:p>
    <w:p w14:paraId="53610A5C" w14:textId="77777777" w:rsidR="007C703A" w:rsidRDefault="007C703A" w:rsidP="00745434">
      <w:pPr>
        <w:spacing w:after="0" w:line="240" w:lineRule="auto"/>
        <w:rPr>
          <w:rFonts w:cs="Arial"/>
        </w:rPr>
      </w:pPr>
    </w:p>
    <w:p w14:paraId="056E8E2F" w14:textId="192738A3" w:rsidR="00581F9B" w:rsidRPr="001357DF" w:rsidRDefault="00581F9B" w:rsidP="00745434">
      <w:pPr>
        <w:spacing w:after="0" w:line="240" w:lineRule="auto"/>
        <w:rPr>
          <w:rFonts w:cs="Arial"/>
          <w:b/>
        </w:rPr>
      </w:pPr>
      <w:r w:rsidRPr="001357DF">
        <w:rPr>
          <w:rFonts w:cs="Arial"/>
          <w:b/>
        </w:rPr>
        <w:t xml:space="preserve">Table 2: </w:t>
      </w:r>
      <w:r w:rsidR="005F6CD7" w:rsidRPr="001357DF">
        <w:rPr>
          <w:rFonts w:cs="Arial"/>
          <w:b/>
        </w:rPr>
        <w:t>genomic testing laboratories for phase 1</w:t>
      </w:r>
    </w:p>
    <w:tbl>
      <w:tblPr>
        <w:tblStyle w:val="TableGrid"/>
        <w:tblW w:w="5265" w:type="pct"/>
        <w:tblInd w:w="0" w:type="dxa"/>
        <w:tblLook w:val="04A0" w:firstRow="1" w:lastRow="0" w:firstColumn="1" w:lastColumn="0" w:noHBand="0" w:noVBand="1"/>
      </w:tblPr>
      <w:tblGrid>
        <w:gridCol w:w="1244"/>
        <w:gridCol w:w="1497"/>
        <w:gridCol w:w="5022"/>
        <w:gridCol w:w="1731"/>
      </w:tblGrid>
      <w:tr w:rsidR="001357DF" w14:paraId="748DD89D" w14:textId="77777777" w:rsidTr="007C703A">
        <w:tc>
          <w:tcPr>
            <w:tcW w:w="645" w:type="pct"/>
          </w:tcPr>
          <w:p w14:paraId="0482F6ED" w14:textId="6B4BF09B" w:rsidR="001357DF" w:rsidRDefault="001357DF" w:rsidP="00745434">
            <w:pPr>
              <w:rPr>
                <w:rFonts w:cs="Arial"/>
              </w:rPr>
            </w:pPr>
            <w:r>
              <w:rPr>
                <w:rFonts w:cs="Arial"/>
              </w:rPr>
              <w:t>Testing GLH</w:t>
            </w:r>
          </w:p>
        </w:tc>
        <w:tc>
          <w:tcPr>
            <w:tcW w:w="776" w:type="pct"/>
          </w:tcPr>
          <w:p w14:paraId="2F479EDE" w14:textId="068F8AE8" w:rsidR="001357DF" w:rsidRDefault="001357DF" w:rsidP="00745434">
            <w:pPr>
              <w:rPr>
                <w:rFonts w:cs="Arial"/>
              </w:rPr>
            </w:pPr>
            <w:r>
              <w:rPr>
                <w:rFonts w:cs="Arial"/>
              </w:rPr>
              <w:t>Testing laboratory in GLH</w:t>
            </w:r>
          </w:p>
        </w:tc>
        <w:tc>
          <w:tcPr>
            <w:tcW w:w="2599" w:type="pct"/>
          </w:tcPr>
          <w:p w14:paraId="73410498" w14:textId="54ECD5DA" w:rsidR="001357DF" w:rsidRPr="001357DF" w:rsidRDefault="001357DF" w:rsidP="00745434">
            <w:pPr>
              <w:rPr>
                <w:rFonts w:cs="Arial"/>
                <w:highlight w:val="yellow"/>
              </w:rPr>
            </w:pPr>
            <w:r w:rsidRPr="007C703A">
              <w:rPr>
                <w:rFonts w:cs="Arial"/>
              </w:rPr>
              <w:t>Key laboratory contact</w:t>
            </w:r>
          </w:p>
        </w:tc>
        <w:tc>
          <w:tcPr>
            <w:tcW w:w="979" w:type="pct"/>
          </w:tcPr>
          <w:p w14:paraId="69A66A09" w14:textId="678EFB06" w:rsidR="001357DF" w:rsidRDefault="001357DF" w:rsidP="00745434">
            <w:pPr>
              <w:rPr>
                <w:rFonts w:cs="Arial"/>
              </w:rPr>
            </w:pPr>
            <w:r>
              <w:rPr>
                <w:rFonts w:cs="Arial"/>
              </w:rPr>
              <w:t>Geography covered</w:t>
            </w:r>
          </w:p>
        </w:tc>
      </w:tr>
      <w:tr w:rsidR="001357DF" w14:paraId="2F62495F" w14:textId="77777777" w:rsidTr="007C703A">
        <w:tc>
          <w:tcPr>
            <w:tcW w:w="645" w:type="pct"/>
          </w:tcPr>
          <w:p w14:paraId="00BBE278" w14:textId="0FA376A6" w:rsidR="001357DF" w:rsidRDefault="001357DF" w:rsidP="00745434">
            <w:pPr>
              <w:rPr>
                <w:rFonts w:cs="Arial"/>
              </w:rPr>
            </w:pPr>
            <w:r w:rsidRPr="00581F9B">
              <w:rPr>
                <w:rFonts w:cs="Arial"/>
              </w:rPr>
              <w:t>Yorkshire and North East GLH</w:t>
            </w:r>
          </w:p>
        </w:tc>
        <w:tc>
          <w:tcPr>
            <w:tcW w:w="776" w:type="pct"/>
          </w:tcPr>
          <w:p w14:paraId="42EBCA91" w14:textId="1093872C" w:rsidR="001357DF" w:rsidRDefault="001357DF" w:rsidP="00745434">
            <w:pPr>
              <w:rPr>
                <w:rFonts w:cs="Arial"/>
              </w:rPr>
            </w:pPr>
            <w:r w:rsidRPr="00581F9B">
              <w:rPr>
                <w:rFonts w:cs="Arial"/>
              </w:rPr>
              <w:t>Newcastle upon Tyne Hospitals NHS Foundation Trust</w:t>
            </w:r>
          </w:p>
        </w:tc>
        <w:tc>
          <w:tcPr>
            <w:tcW w:w="2599" w:type="pct"/>
          </w:tcPr>
          <w:p w14:paraId="41390976" w14:textId="5B2DC888" w:rsidR="001357DF" w:rsidRPr="001357DF" w:rsidRDefault="002250F6" w:rsidP="00745434">
            <w:pPr>
              <w:rPr>
                <w:rFonts w:cs="Arial"/>
                <w:highlight w:val="yellow"/>
              </w:rPr>
            </w:pPr>
            <w:hyperlink r:id="rId14" w:history="1">
              <w:r>
                <w:rPr>
                  <w:rStyle w:val="Hyperlink"/>
                </w:rPr>
                <w:t>nuth.cancer.genomics@nhs.net</w:t>
              </w:r>
            </w:hyperlink>
          </w:p>
        </w:tc>
        <w:tc>
          <w:tcPr>
            <w:tcW w:w="979" w:type="pct"/>
          </w:tcPr>
          <w:p w14:paraId="6AC706A0" w14:textId="205A3F3F" w:rsidR="001357DF" w:rsidRDefault="001357DF" w:rsidP="00745434">
            <w:pPr>
              <w:rPr>
                <w:rFonts w:cs="Arial"/>
              </w:rPr>
            </w:pPr>
            <w:r w:rsidRPr="00581F9B">
              <w:rPr>
                <w:rFonts w:cs="Arial"/>
              </w:rPr>
              <w:t>Yorkshire and North East GLH</w:t>
            </w:r>
          </w:p>
        </w:tc>
      </w:tr>
      <w:tr w:rsidR="001357DF" w14:paraId="19539185" w14:textId="77777777" w:rsidTr="007C703A">
        <w:tc>
          <w:tcPr>
            <w:tcW w:w="645" w:type="pct"/>
          </w:tcPr>
          <w:p w14:paraId="68A590DC" w14:textId="4ED81808" w:rsidR="001357DF" w:rsidRDefault="001357DF" w:rsidP="00745434">
            <w:pPr>
              <w:rPr>
                <w:rFonts w:cs="Arial"/>
              </w:rPr>
            </w:pPr>
            <w:r>
              <w:rPr>
                <w:rFonts w:cs="Arial"/>
              </w:rPr>
              <w:t>North West GLH</w:t>
            </w:r>
          </w:p>
        </w:tc>
        <w:tc>
          <w:tcPr>
            <w:tcW w:w="776" w:type="pct"/>
          </w:tcPr>
          <w:p w14:paraId="32B32F79" w14:textId="6BE2F7F1" w:rsidR="001357DF" w:rsidRDefault="001357DF" w:rsidP="00745434">
            <w:pPr>
              <w:rPr>
                <w:rFonts w:cs="Arial"/>
              </w:rPr>
            </w:pPr>
            <w:r w:rsidRPr="00581F9B">
              <w:rPr>
                <w:rFonts w:cs="Arial"/>
              </w:rPr>
              <w:t>Manchester University NHS Foundation Trust</w:t>
            </w:r>
          </w:p>
        </w:tc>
        <w:tc>
          <w:tcPr>
            <w:tcW w:w="2599" w:type="pct"/>
          </w:tcPr>
          <w:p w14:paraId="052192D6" w14:textId="23561DE3" w:rsidR="001357DF" w:rsidRPr="001357DF" w:rsidRDefault="007C703A" w:rsidP="00745434">
            <w:pPr>
              <w:rPr>
                <w:rFonts w:cs="Arial"/>
                <w:highlight w:val="yellow"/>
              </w:rPr>
            </w:pPr>
            <w:hyperlink r:id="rId15" w:history="1">
              <w:r w:rsidRPr="00F11EA4">
                <w:rPr>
                  <w:rStyle w:val="Hyperlink"/>
                  <w:rFonts w:cs="Arial"/>
                  <w:sz w:val="22"/>
                </w:rPr>
                <w:t>Mft.pharmaco.geneticsrequests@nhs.net</w:t>
              </w:r>
            </w:hyperlink>
            <w:r>
              <w:rPr>
                <w:rFonts w:cs="Arial"/>
                <w:color w:val="000000"/>
                <w:sz w:val="22"/>
              </w:rPr>
              <w:t xml:space="preserve"> </w:t>
            </w:r>
          </w:p>
        </w:tc>
        <w:tc>
          <w:tcPr>
            <w:tcW w:w="979" w:type="pct"/>
          </w:tcPr>
          <w:p w14:paraId="1F310FD9" w14:textId="442CC8D6" w:rsidR="001357DF" w:rsidRDefault="001357DF" w:rsidP="00745434">
            <w:pPr>
              <w:rPr>
                <w:rFonts w:cs="Arial"/>
              </w:rPr>
            </w:pPr>
            <w:r>
              <w:rPr>
                <w:rFonts w:cs="Arial"/>
              </w:rPr>
              <w:t>North West GLH</w:t>
            </w:r>
          </w:p>
        </w:tc>
      </w:tr>
      <w:tr w:rsidR="001357DF" w14:paraId="3962CD10" w14:textId="77777777" w:rsidTr="007C703A">
        <w:tc>
          <w:tcPr>
            <w:tcW w:w="645" w:type="pct"/>
          </w:tcPr>
          <w:p w14:paraId="3602486D" w14:textId="5B552A99" w:rsidR="001357DF" w:rsidRDefault="001357DF" w:rsidP="00745434">
            <w:pPr>
              <w:rPr>
                <w:rFonts w:cs="Arial"/>
              </w:rPr>
            </w:pPr>
            <w:r w:rsidRPr="00581F9B">
              <w:rPr>
                <w:rFonts w:cs="Arial"/>
              </w:rPr>
              <w:t>West Midlands, Oxford and Wessex GLH</w:t>
            </w:r>
          </w:p>
        </w:tc>
        <w:tc>
          <w:tcPr>
            <w:tcW w:w="776" w:type="pct"/>
          </w:tcPr>
          <w:p w14:paraId="10A13E6A" w14:textId="2F17024F" w:rsidR="001357DF" w:rsidRDefault="001357DF" w:rsidP="00745434">
            <w:pPr>
              <w:rPr>
                <w:rFonts w:cs="Arial"/>
              </w:rPr>
            </w:pPr>
            <w:r>
              <w:rPr>
                <w:rFonts w:cs="Arial"/>
              </w:rPr>
              <w:t>Birmingham Women’s and Children’s NHS Foundation Trust</w:t>
            </w:r>
          </w:p>
        </w:tc>
        <w:tc>
          <w:tcPr>
            <w:tcW w:w="2599" w:type="pct"/>
          </w:tcPr>
          <w:p w14:paraId="3CC484BB" w14:textId="77777777" w:rsidR="007C703A" w:rsidRDefault="00CC4DC1" w:rsidP="00745434">
            <w:pPr>
              <w:rPr>
                <w:rFonts w:cs="Arial"/>
              </w:rPr>
            </w:pPr>
            <w:hyperlink r:id="rId16" w:history="1">
              <w:r w:rsidRPr="003C6969">
                <w:rPr>
                  <w:rStyle w:val="Hyperlink"/>
                  <w:rFonts w:cs="Arial"/>
                </w:rPr>
                <w:t>bwc.RGLMolecularPathologyTeam@nhs.net</w:t>
              </w:r>
            </w:hyperlink>
            <w:r>
              <w:rPr>
                <w:rFonts w:cs="Arial"/>
              </w:rPr>
              <w:t xml:space="preserve">; </w:t>
            </w:r>
          </w:p>
          <w:p w14:paraId="4F0E84EF" w14:textId="77777777" w:rsidR="007C703A" w:rsidRDefault="007C703A" w:rsidP="00745434">
            <w:pPr>
              <w:rPr>
                <w:rFonts w:cs="Arial"/>
              </w:rPr>
            </w:pPr>
          </w:p>
          <w:p w14:paraId="5D914AF4" w14:textId="5A24C10A" w:rsidR="001357DF" w:rsidRPr="001357DF" w:rsidRDefault="00CC4DC1" w:rsidP="00745434">
            <w:pPr>
              <w:rPr>
                <w:rFonts w:cs="Arial"/>
                <w:highlight w:val="yellow"/>
              </w:rPr>
            </w:pPr>
            <w:r w:rsidRPr="00CC4DC1">
              <w:rPr>
                <w:rFonts w:cs="Arial"/>
              </w:rPr>
              <w:t>Yvonne</w:t>
            </w:r>
            <w:r>
              <w:rPr>
                <w:rFonts w:cs="Arial"/>
              </w:rPr>
              <w:t xml:space="preserve"> Wallis</w:t>
            </w:r>
            <w:r w:rsidRPr="00CC4DC1">
              <w:rPr>
                <w:rFonts w:cs="Arial"/>
              </w:rPr>
              <w:t xml:space="preserve"> </w:t>
            </w:r>
            <w:hyperlink r:id="rId17" w:history="1">
              <w:r w:rsidRPr="003C6969">
                <w:rPr>
                  <w:rStyle w:val="Hyperlink"/>
                  <w:rFonts w:cs="Arial"/>
                </w:rPr>
                <w:t>y.wallis@nhs.net</w:t>
              </w:r>
            </w:hyperlink>
            <w:r>
              <w:rPr>
                <w:rFonts w:cs="Arial"/>
              </w:rPr>
              <w:t xml:space="preserve">  </w:t>
            </w:r>
            <w:r w:rsidR="00510DEA">
              <w:rPr>
                <w:rFonts w:cs="Arial"/>
              </w:rPr>
              <w:t xml:space="preserve"> </w:t>
            </w:r>
          </w:p>
        </w:tc>
        <w:tc>
          <w:tcPr>
            <w:tcW w:w="979" w:type="pct"/>
          </w:tcPr>
          <w:p w14:paraId="14E4208F" w14:textId="3D9546A6" w:rsidR="001357DF" w:rsidRDefault="001357DF" w:rsidP="00745434">
            <w:pPr>
              <w:rPr>
                <w:rFonts w:cs="Arial"/>
              </w:rPr>
            </w:pPr>
            <w:r w:rsidRPr="00581F9B">
              <w:rPr>
                <w:rFonts w:cs="Arial"/>
              </w:rPr>
              <w:t>West Midlands, Oxford and Wessex GLH</w:t>
            </w:r>
            <w:r>
              <w:rPr>
                <w:rFonts w:cs="Arial"/>
              </w:rPr>
              <w:t xml:space="preserve">, </w:t>
            </w:r>
            <w:r w:rsidRPr="00581F9B">
              <w:rPr>
                <w:rFonts w:cs="Arial"/>
              </w:rPr>
              <w:t xml:space="preserve">South West </w:t>
            </w:r>
            <w:r>
              <w:rPr>
                <w:rFonts w:cs="Arial"/>
              </w:rPr>
              <w:t>GLH</w:t>
            </w:r>
          </w:p>
        </w:tc>
      </w:tr>
      <w:tr w:rsidR="001357DF" w14:paraId="3205718A" w14:textId="77777777" w:rsidTr="007C703A">
        <w:tc>
          <w:tcPr>
            <w:tcW w:w="645" w:type="pct"/>
          </w:tcPr>
          <w:p w14:paraId="1E61C3E5" w14:textId="7738F682" w:rsidR="001357DF" w:rsidRDefault="001357DF" w:rsidP="00745434">
            <w:pPr>
              <w:rPr>
                <w:rFonts w:cs="Arial"/>
              </w:rPr>
            </w:pPr>
            <w:r>
              <w:rPr>
                <w:rFonts w:cs="Arial"/>
              </w:rPr>
              <w:t>London North GLH</w:t>
            </w:r>
          </w:p>
        </w:tc>
        <w:tc>
          <w:tcPr>
            <w:tcW w:w="776" w:type="pct"/>
          </w:tcPr>
          <w:p w14:paraId="27A4DCF1" w14:textId="011BDE1E" w:rsidR="001357DF" w:rsidRDefault="001357DF" w:rsidP="00745434">
            <w:pPr>
              <w:rPr>
                <w:rFonts w:cs="Arial"/>
              </w:rPr>
            </w:pPr>
            <w:r>
              <w:rPr>
                <w:rFonts w:cs="Arial"/>
              </w:rPr>
              <w:t>The Royal Marsden NHS Foundation Trust</w:t>
            </w:r>
          </w:p>
        </w:tc>
        <w:tc>
          <w:tcPr>
            <w:tcW w:w="2599" w:type="pct"/>
          </w:tcPr>
          <w:p w14:paraId="45F93486" w14:textId="3C368BA2" w:rsidR="001357DF" w:rsidRPr="001357DF" w:rsidRDefault="007C703A" w:rsidP="00745434">
            <w:pPr>
              <w:rPr>
                <w:rFonts w:cs="Arial"/>
                <w:highlight w:val="yellow"/>
              </w:rPr>
            </w:pPr>
            <w:hyperlink r:id="rId18" w:history="1">
              <w:r w:rsidRPr="00F11EA4">
                <w:rPr>
                  <w:rStyle w:val="Hyperlink"/>
                  <w:rFonts w:cs="Arial"/>
                </w:rPr>
                <w:t>rmh-tr.moleculardiagnostics@nhs.net</w:t>
              </w:r>
            </w:hyperlink>
            <w:r>
              <w:rPr>
                <w:rFonts w:cs="Arial"/>
              </w:rPr>
              <w:t xml:space="preserve"> </w:t>
            </w:r>
          </w:p>
        </w:tc>
        <w:tc>
          <w:tcPr>
            <w:tcW w:w="979" w:type="pct"/>
          </w:tcPr>
          <w:p w14:paraId="7ABCDE97" w14:textId="654E3CAF" w:rsidR="001357DF" w:rsidRDefault="001357DF" w:rsidP="00745434">
            <w:pPr>
              <w:rPr>
                <w:rFonts w:cs="Arial"/>
              </w:rPr>
            </w:pPr>
            <w:r>
              <w:rPr>
                <w:rFonts w:cs="Arial"/>
              </w:rPr>
              <w:t>London North GLH</w:t>
            </w:r>
            <w:r w:rsidR="005D3BFD">
              <w:rPr>
                <w:rFonts w:cs="Arial"/>
              </w:rPr>
              <w:t xml:space="preserve">, </w:t>
            </w:r>
            <w:r>
              <w:rPr>
                <w:rFonts w:cs="Arial"/>
              </w:rPr>
              <w:t>London South GLH</w:t>
            </w:r>
            <w:r w:rsidR="005D3BFD">
              <w:rPr>
                <w:rFonts w:cs="Arial"/>
              </w:rPr>
              <w:t xml:space="preserve"> and </w:t>
            </w:r>
            <w:r w:rsidR="005D3BFD" w:rsidRPr="00581F9B">
              <w:rPr>
                <w:rFonts w:cs="Arial"/>
              </w:rPr>
              <w:t>East of England GLH</w:t>
            </w:r>
          </w:p>
        </w:tc>
      </w:tr>
    </w:tbl>
    <w:p w14:paraId="23F78806" w14:textId="420F38BC" w:rsidR="00581F9B" w:rsidRDefault="00581F9B" w:rsidP="00745434">
      <w:pPr>
        <w:spacing w:after="0" w:line="240" w:lineRule="auto"/>
        <w:rPr>
          <w:rFonts w:cs="Arial"/>
        </w:rPr>
      </w:pPr>
    </w:p>
    <w:p w14:paraId="45258DC9" w14:textId="1F922472" w:rsidR="00A459E3" w:rsidRDefault="005F6CD7" w:rsidP="000E09BE">
      <w:pPr>
        <w:pStyle w:val="ListParagraph"/>
        <w:numPr>
          <w:ilvl w:val="0"/>
          <w:numId w:val="5"/>
        </w:numPr>
        <w:spacing w:after="0" w:line="240" w:lineRule="auto"/>
        <w:ind w:left="426" w:hanging="426"/>
        <w:rPr>
          <w:rFonts w:cs="Arial"/>
        </w:rPr>
      </w:pPr>
      <w:r>
        <w:rPr>
          <w:rFonts w:cs="Arial"/>
        </w:rPr>
        <w:t xml:space="preserve">The </w:t>
      </w:r>
      <w:r w:rsidRPr="005F6CD7">
        <w:rPr>
          <w:rFonts w:cs="Arial"/>
        </w:rPr>
        <w:t xml:space="preserve">histopathology laboratory </w:t>
      </w:r>
      <w:r>
        <w:rPr>
          <w:rFonts w:cs="Arial"/>
        </w:rPr>
        <w:t xml:space="preserve">should use </w:t>
      </w:r>
      <w:r w:rsidR="000E61C9">
        <w:rPr>
          <w:rFonts w:cs="Arial"/>
        </w:rPr>
        <w:t>the genomic testing laboratory’s</w:t>
      </w:r>
      <w:r>
        <w:rPr>
          <w:rFonts w:cs="Arial"/>
        </w:rPr>
        <w:t xml:space="preserve"> </w:t>
      </w:r>
      <w:r w:rsidRPr="005F6CD7">
        <w:rPr>
          <w:rFonts w:cs="Arial"/>
        </w:rPr>
        <w:t xml:space="preserve">Test Request Form </w:t>
      </w:r>
      <w:r>
        <w:rPr>
          <w:rFonts w:cs="Arial"/>
        </w:rPr>
        <w:t xml:space="preserve">and send </w:t>
      </w:r>
      <w:r w:rsidR="008F1A5C">
        <w:rPr>
          <w:rFonts w:cs="Arial"/>
        </w:rPr>
        <w:t>a</w:t>
      </w:r>
      <w:r>
        <w:rPr>
          <w:rFonts w:cs="Arial"/>
        </w:rPr>
        <w:t xml:space="preserve"> </w:t>
      </w:r>
      <w:r w:rsidR="0097645D">
        <w:rPr>
          <w:rFonts w:cs="Arial"/>
        </w:rPr>
        <w:t>formalin-fixed paraffin-embedded (</w:t>
      </w:r>
      <w:r>
        <w:rPr>
          <w:rFonts w:cs="Arial"/>
        </w:rPr>
        <w:t>FFPE</w:t>
      </w:r>
      <w:r w:rsidR="0097645D">
        <w:rPr>
          <w:rFonts w:cs="Arial"/>
        </w:rPr>
        <w:t>)</w:t>
      </w:r>
      <w:r>
        <w:rPr>
          <w:rFonts w:cs="Arial"/>
        </w:rPr>
        <w:t xml:space="preserve"> </w:t>
      </w:r>
      <w:r w:rsidR="000E61C9">
        <w:rPr>
          <w:rFonts w:cs="Arial"/>
        </w:rPr>
        <w:t xml:space="preserve">tumour </w:t>
      </w:r>
      <w:r>
        <w:rPr>
          <w:rFonts w:cs="Arial"/>
        </w:rPr>
        <w:t>sample directly to the genomic testing laboratory</w:t>
      </w:r>
      <w:r w:rsidR="008F1A5C">
        <w:rPr>
          <w:rFonts w:cs="Arial"/>
        </w:rPr>
        <w:t xml:space="preserve"> designated to perform the testing on behalf of that geography as outlined in table 2</w:t>
      </w:r>
      <w:r>
        <w:rPr>
          <w:rFonts w:cs="Arial"/>
        </w:rPr>
        <w:t xml:space="preserve">. The testing laboratory will perform the </w:t>
      </w:r>
      <w:r w:rsidR="001357DF">
        <w:rPr>
          <w:rFonts w:cs="Arial"/>
        </w:rPr>
        <w:t xml:space="preserve">extraction, </w:t>
      </w:r>
      <w:r>
        <w:rPr>
          <w:rFonts w:cs="Arial"/>
        </w:rPr>
        <w:t>testing</w:t>
      </w:r>
      <w:r w:rsidR="000E61C9">
        <w:rPr>
          <w:rFonts w:cs="Arial"/>
        </w:rPr>
        <w:t xml:space="preserve">, </w:t>
      </w:r>
      <w:r>
        <w:rPr>
          <w:rFonts w:cs="Arial"/>
        </w:rPr>
        <w:t xml:space="preserve">interpretation and report the result back to the referring oncologist. </w:t>
      </w:r>
    </w:p>
    <w:p w14:paraId="1109C9BA" w14:textId="77777777" w:rsidR="00B71842" w:rsidRDefault="00B71842" w:rsidP="00AA045B">
      <w:pPr>
        <w:pStyle w:val="ListParagraph"/>
        <w:spacing w:after="0" w:line="240" w:lineRule="auto"/>
        <w:ind w:left="426"/>
        <w:rPr>
          <w:rFonts w:cs="Arial"/>
        </w:rPr>
      </w:pPr>
    </w:p>
    <w:p w14:paraId="73CB7599" w14:textId="38425EFF" w:rsidR="00B71842" w:rsidRPr="000E09BE" w:rsidRDefault="00B71842" w:rsidP="000E09BE">
      <w:pPr>
        <w:pStyle w:val="ListParagraph"/>
        <w:numPr>
          <w:ilvl w:val="0"/>
          <w:numId w:val="5"/>
        </w:numPr>
        <w:spacing w:after="0" w:line="240" w:lineRule="auto"/>
        <w:ind w:left="426" w:hanging="426"/>
        <w:rPr>
          <w:rFonts w:cs="Arial"/>
        </w:rPr>
      </w:pPr>
      <w:r>
        <w:rPr>
          <w:rFonts w:cs="Arial"/>
        </w:rPr>
        <w:t>NHS England and NHS Improvement will continue to work with the Genomic Laboratory Hubs to agree a timeline for the expansion of genomic testing capacity</w:t>
      </w:r>
      <w:r w:rsidR="001733B9">
        <w:rPr>
          <w:rFonts w:cs="Arial"/>
        </w:rPr>
        <w:t xml:space="preserve">. </w:t>
      </w:r>
    </w:p>
    <w:p w14:paraId="54E41A26" w14:textId="57BF8153" w:rsidR="008F1A5C" w:rsidRDefault="008F1A5C" w:rsidP="007C703A">
      <w:pPr>
        <w:rPr>
          <w:rFonts w:cs="Arial"/>
        </w:rPr>
      </w:pPr>
    </w:p>
    <w:sectPr w:rsidR="008F1A5C" w:rsidSect="00CB479C">
      <w:footerReference w:type="first" r:id="rId19"/>
      <w:pgSz w:w="11906" w:h="16838"/>
      <w:pgMar w:top="1440" w:right="1440" w:bottom="1440" w:left="1440" w:header="708"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7EB10" w16cex:dateUtc="2020-04-20T0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BA1C" w14:textId="77777777" w:rsidR="00DA4F3E" w:rsidRDefault="00DA4F3E" w:rsidP="00CB479C">
      <w:pPr>
        <w:spacing w:after="0" w:line="240" w:lineRule="auto"/>
      </w:pPr>
      <w:r>
        <w:separator/>
      </w:r>
    </w:p>
  </w:endnote>
  <w:endnote w:type="continuationSeparator" w:id="0">
    <w:p w14:paraId="42D8EC1D" w14:textId="77777777" w:rsidR="00DA4F3E" w:rsidRDefault="00DA4F3E"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E9B7" w14:textId="77777777" w:rsidR="00CB479C" w:rsidRDefault="00CB479C">
    <w:pPr>
      <w:pStyle w:val="Footer"/>
    </w:pPr>
    <w:r>
      <w:rPr>
        <w:noProof/>
        <w:lang w:eastAsia="en-GB"/>
      </w:rPr>
      <mc:AlternateContent>
        <mc:Choice Requires="wps">
          <w:drawing>
            <wp:anchor distT="0" distB="0" distL="114300" distR="114300" simplePos="0" relativeHeight="251661312" behindDoc="0" locked="0" layoutInCell="1" allowOverlap="1" wp14:anchorId="7B5ACB24" wp14:editId="6530276D">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6DE0F177"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ACB24"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6DE0F177"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59264" behindDoc="1" locked="0" layoutInCell="1" allowOverlap="1" wp14:anchorId="03656A7A" wp14:editId="64B270AF">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8404" w14:textId="77777777" w:rsidR="00DA4F3E" w:rsidRDefault="00DA4F3E" w:rsidP="00CB479C">
      <w:pPr>
        <w:spacing w:after="0" w:line="240" w:lineRule="auto"/>
      </w:pPr>
      <w:r>
        <w:separator/>
      </w:r>
    </w:p>
  </w:footnote>
  <w:footnote w:type="continuationSeparator" w:id="0">
    <w:p w14:paraId="17524E69" w14:textId="77777777" w:rsidR="00DA4F3E" w:rsidRDefault="00DA4F3E" w:rsidP="00CB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6B0"/>
    <w:multiLevelType w:val="hybridMultilevel"/>
    <w:tmpl w:val="36AA9C6A"/>
    <w:lvl w:ilvl="0" w:tplc="083AFBF4">
      <w:start w:val="1"/>
      <w:numFmt w:val="decimal"/>
      <w:lvlText w:val="%1."/>
      <w:lvlJc w:val="left"/>
      <w:pPr>
        <w:ind w:left="360" w:hanging="360"/>
      </w:pPr>
      <w:rPr>
        <w:b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E32830"/>
    <w:multiLevelType w:val="hybridMultilevel"/>
    <w:tmpl w:val="2ECA8BCE"/>
    <w:lvl w:ilvl="0" w:tplc="7CAAF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458F"/>
    <w:multiLevelType w:val="hybridMultilevel"/>
    <w:tmpl w:val="4E46254A"/>
    <w:lvl w:ilvl="0" w:tplc="015C68FE">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881C6D"/>
    <w:multiLevelType w:val="hybridMultilevel"/>
    <w:tmpl w:val="72F80050"/>
    <w:lvl w:ilvl="0" w:tplc="44468E88">
      <w:start w:val="1"/>
      <w:numFmt w:val="bullet"/>
      <w:lvlText w:val="•"/>
      <w:lvlJc w:val="left"/>
      <w:pPr>
        <w:tabs>
          <w:tab w:val="num" w:pos="720"/>
        </w:tabs>
        <w:ind w:left="720" w:hanging="360"/>
      </w:pPr>
      <w:rPr>
        <w:rFonts w:ascii="Arial" w:hAnsi="Arial" w:hint="default"/>
      </w:rPr>
    </w:lvl>
    <w:lvl w:ilvl="1" w:tplc="61BAB85E" w:tentative="1">
      <w:start w:val="1"/>
      <w:numFmt w:val="bullet"/>
      <w:lvlText w:val="•"/>
      <w:lvlJc w:val="left"/>
      <w:pPr>
        <w:tabs>
          <w:tab w:val="num" w:pos="1440"/>
        </w:tabs>
        <w:ind w:left="1440" w:hanging="360"/>
      </w:pPr>
      <w:rPr>
        <w:rFonts w:ascii="Arial" w:hAnsi="Arial" w:hint="default"/>
      </w:rPr>
    </w:lvl>
    <w:lvl w:ilvl="2" w:tplc="8F74BEA6" w:tentative="1">
      <w:start w:val="1"/>
      <w:numFmt w:val="bullet"/>
      <w:lvlText w:val="•"/>
      <w:lvlJc w:val="left"/>
      <w:pPr>
        <w:tabs>
          <w:tab w:val="num" w:pos="2160"/>
        </w:tabs>
        <w:ind w:left="2160" w:hanging="360"/>
      </w:pPr>
      <w:rPr>
        <w:rFonts w:ascii="Arial" w:hAnsi="Arial" w:hint="default"/>
      </w:rPr>
    </w:lvl>
    <w:lvl w:ilvl="3" w:tplc="A0A2F080" w:tentative="1">
      <w:start w:val="1"/>
      <w:numFmt w:val="bullet"/>
      <w:lvlText w:val="•"/>
      <w:lvlJc w:val="left"/>
      <w:pPr>
        <w:tabs>
          <w:tab w:val="num" w:pos="2880"/>
        </w:tabs>
        <w:ind w:left="2880" w:hanging="360"/>
      </w:pPr>
      <w:rPr>
        <w:rFonts w:ascii="Arial" w:hAnsi="Arial" w:hint="default"/>
      </w:rPr>
    </w:lvl>
    <w:lvl w:ilvl="4" w:tplc="FF0C25E8" w:tentative="1">
      <w:start w:val="1"/>
      <w:numFmt w:val="bullet"/>
      <w:lvlText w:val="•"/>
      <w:lvlJc w:val="left"/>
      <w:pPr>
        <w:tabs>
          <w:tab w:val="num" w:pos="3600"/>
        </w:tabs>
        <w:ind w:left="3600" w:hanging="360"/>
      </w:pPr>
      <w:rPr>
        <w:rFonts w:ascii="Arial" w:hAnsi="Arial" w:hint="default"/>
      </w:rPr>
    </w:lvl>
    <w:lvl w:ilvl="5" w:tplc="B15C9566" w:tentative="1">
      <w:start w:val="1"/>
      <w:numFmt w:val="bullet"/>
      <w:lvlText w:val="•"/>
      <w:lvlJc w:val="left"/>
      <w:pPr>
        <w:tabs>
          <w:tab w:val="num" w:pos="4320"/>
        </w:tabs>
        <w:ind w:left="4320" w:hanging="360"/>
      </w:pPr>
      <w:rPr>
        <w:rFonts w:ascii="Arial" w:hAnsi="Arial" w:hint="default"/>
      </w:rPr>
    </w:lvl>
    <w:lvl w:ilvl="6" w:tplc="D86AFB14" w:tentative="1">
      <w:start w:val="1"/>
      <w:numFmt w:val="bullet"/>
      <w:lvlText w:val="•"/>
      <w:lvlJc w:val="left"/>
      <w:pPr>
        <w:tabs>
          <w:tab w:val="num" w:pos="5040"/>
        </w:tabs>
        <w:ind w:left="5040" w:hanging="360"/>
      </w:pPr>
      <w:rPr>
        <w:rFonts w:ascii="Arial" w:hAnsi="Arial" w:hint="default"/>
      </w:rPr>
    </w:lvl>
    <w:lvl w:ilvl="7" w:tplc="DD3A7596" w:tentative="1">
      <w:start w:val="1"/>
      <w:numFmt w:val="bullet"/>
      <w:lvlText w:val="•"/>
      <w:lvlJc w:val="left"/>
      <w:pPr>
        <w:tabs>
          <w:tab w:val="num" w:pos="5760"/>
        </w:tabs>
        <w:ind w:left="5760" w:hanging="360"/>
      </w:pPr>
      <w:rPr>
        <w:rFonts w:ascii="Arial" w:hAnsi="Arial" w:hint="default"/>
      </w:rPr>
    </w:lvl>
    <w:lvl w:ilvl="8" w:tplc="76F2AB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E6636B"/>
    <w:multiLevelType w:val="hybridMultilevel"/>
    <w:tmpl w:val="0726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A2E6C"/>
    <w:multiLevelType w:val="hybridMultilevel"/>
    <w:tmpl w:val="579C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3E"/>
    <w:rsid w:val="00012418"/>
    <w:rsid w:val="000E09BE"/>
    <w:rsid w:val="000E61C9"/>
    <w:rsid w:val="001357DF"/>
    <w:rsid w:val="0016296D"/>
    <w:rsid w:val="001733B9"/>
    <w:rsid w:val="0021299E"/>
    <w:rsid w:val="002250F6"/>
    <w:rsid w:val="002E2E2E"/>
    <w:rsid w:val="003E2F89"/>
    <w:rsid w:val="004017DD"/>
    <w:rsid w:val="00510DEA"/>
    <w:rsid w:val="00581F9B"/>
    <w:rsid w:val="005D3BFD"/>
    <w:rsid w:val="005F6CD7"/>
    <w:rsid w:val="00666FB8"/>
    <w:rsid w:val="00745434"/>
    <w:rsid w:val="00745D74"/>
    <w:rsid w:val="007671AF"/>
    <w:rsid w:val="0079752A"/>
    <w:rsid w:val="007B13C9"/>
    <w:rsid w:val="007C703A"/>
    <w:rsid w:val="007E4374"/>
    <w:rsid w:val="008F1A5C"/>
    <w:rsid w:val="00947E7B"/>
    <w:rsid w:val="0097645D"/>
    <w:rsid w:val="009A38DC"/>
    <w:rsid w:val="009B6A38"/>
    <w:rsid w:val="00A459E3"/>
    <w:rsid w:val="00AA045B"/>
    <w:rsid w:val="00AB64B0"/>
    <w:rsid w:val="00B71842"/>
    <w:rsid w:val="00C55209"/>
    <w:rsid w:val="00CB479C"/>
    <w:rsid w:val="00CC4DC1"/>
    <w:rsid w:val="00DA4F3E"/>
    <w:rsid w:val="00E6610C"/>
    <w:rsid w:val="00EB4C83"/>
    <w:rsid w:val="00F34956"/>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F00034"/>
  <w15:docId w15:val="{C49787A2-2842-4E33-A84C-2647995E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FootnoteText">
    <w:name w:val="footnote text"/>
    <w:basedOn w:val="Normal"/>
    <w:link w:val="FootnoteTextChar"/>
    <w:uiPriority w:val="99"/>
    <w:semiHidden/>
    <w:unhideWhenUsed/>
    <w:rsid w:val="00162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96D"/>
    <w:rPr>
      <w:rFonts w:ascii="Arial" w:hAnsi="Arial"/>
      <w:sz w:val="20"/>
      <w:szCs w:val="20"/>
    </w:rPr>
  </w:style>
  <w:style w:type="character" w:styleId="FootnoteReference">
    <w:name w:val="footnote reference"/>
    <w:semiHidden/>
    <w:rsid w:val="0016296D"/>
    <w:rPr>
      <w:vertAlign w:val="superscript"/>
    </w:rPr>
  </w:style>
  <w:style w:type="character" w:styleId="Hyperlink">
    <w:name w:val="Hyperlink"/>
    <w:basedOn w:val="DefaultParagraphFont"/>
    <w:uiPriority w:val="99"/>
    <w:unhideWhenUsed/>
    <w:rsid w:val="00DA4F3E"/>
    <w:rPr>
      <w:color w:val="0563C1" w:themeColor="hyperlink"/>
      <w:u w:val="single"/>
    </w:rPr>
  </w:style>
  <w:style w:type="character" w:customStyle="1" w:styleId="UnresolvedMention1">
    <w:name w:val="Unresolved Mention1"/>
    <w:basedOn w:val="DefaultParagraphFont"/>
    <w:uiPriority w:val="99"/>
    <w:semiHidden/>
    <w:unhideWhenUsed/>
    <w:rsid w:val="00DA4F3E"/>
    <w:rPr>
      <w:color w:val="605E5C"/>
      <w:shd w:val="clear" w:color="auto" w:fill="E1DFDD"/>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DA4F3E"/>
    <w:pPr>
      <w:ind w:left="720"/>
      <w:contextualSpacing/>
    </w:pPr>
  </w:style>
  <w:style w:type="character" w:styleId="CommentReference">
    <w:name w:val="annotation reference"/>
    <w:basedOn w:val="DefaultParagraphFont"/>
    <w:uiPriority w:val="99"/>
    <w:semiHidden/>
    <w:unhideWhenUsed/>
    <w:rsid w:val="00DA4F3E"/>
    <w:rPr>
      <w:sz w:val="16"/>
      <w:szCs w:val="16"/>
    </w:rPr>
  </w:style>
  <w:style w:type="paragraph" w:styleId="CommentText">
    <w:name w:val="annotation text"/>
    <w:basedOn w:val="Normal"/>
    <w:link w:val="CommentTextChar"/>
    <w:uiPriority w:val="99"/>
    <w:semiHidden/>
    <w:unhideWhenUsed/>
    <w:rsid w:val="00DA4F3E"/>
    <w:pPr>
      <w:spacing w:line="240" w:lineRule="auto"/>
    </w:pPr>
    <w:rPr>
      <w:sz w:val="20"/>
      <w:szCs w:val="20"/>
    </w:rPr>
  </w:style>
  <w:style w:type="character" w:customStyle="1" w:styleId="CommentTextChar">
    <w:name w:val="Comment Text Char"/>
    <w:basedOn w:val="DefaultParagraphFont"/>
    <w:link w:val="CommentText"/>
    <w:uiPriority w:val="99"/>
    <w:semiHidden/>
    <w:rsid w:val="00DA4F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4F3E"/>
    <w:rPr>
      <w:b/>
      <w:bCs/>
    </w:rPr>
  </w:style>
  <w:style w:type="character" w:customStyle="1" w:styleId="CommentSubjectChar">
    <w:name w:val="Comment Subject Char"/>
    <w:basedOn w:val="CommentTextChar"/>
    <w:link w:val="CommentSubject"/>
    <w:uiPriority w:val="99"/>
    <w:semiHidden/>
    <w:rsid w:val="00DA4F3E"/>
    <w:rPr>
      <w:rFonts w:ascii="Arial" w:hAnsi="Arial"/>
      <w:b/>
      <w:bCs/>
      <w:sz w:val="20"/>
      <w:szCs w:val="20"/>
    </w:rPr>
  </w:style>
  <w:style w:type="paragraph" w:styleId="BalloonText">
    <w:name w:val="Balloon Text"/>
    <w:basedOn w:val="Normal"/>
    <w:link w:val="BalloonTextChar"/>
    <w:uiPriority w:val="99"/>
    <w:semiHidden/>
    <w:unhideWhenUsed/>
    <w:rsid w:val="00DA4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3E"/>
    <w:rPr>
      <w:rFonts w:ascii="Segoe UI" w:hAnsi="Segoe UI" w:cs="Segoe UI"/>
      <w:sz w:val="18"/>
      <w:szCs w:val="18"/>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qFormat/>
    <w:locked/>
    <w:rsid w:val="00666FB8"/>
    <w:rPr>
      <w:rFonts w:ascii="Arial" w:hAnsi="Arial"/>
      <w:sz w:val="24"/>
    </w:rPr>
  </w:style>
  <w:style w:type="table" w:styleId="TableGrid">
    <w:name w:val="Table Grid"/>
    <w:basedOn w:val="TableNormal"/>
    <w:uiPriority w:val="59"/>
    <w:rsid w:val="002E2E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3334">
      <w:bodyDiv w:val="1"/>
      <w:marLeft w:val="0"/>
      <w:marRight w:val="0"/>
      <w:marTop w:val="0"/>
      <w:marBottom w:val="0"/>
      <w:divBdr>
        <w:top w:val="none" w:sz="0" w:space="0" w:color="auto"/>
        <w:left w:val="none" w:sz="0" w:space="0" w:color="auto"/>
        <w:bottom w:val="none" w:sz="0" w:space="0" w:color="auto"/>
        <w:right w:val="none" w:sz="0" w:space="0" w:color="auto"/>
      </w:divBdr>
      <w:divsChild>
        <w:div w:id="1734305594">
          <w:marLeft w:val="274"/>
          <w:marRight w:val="0"/>
          <w:marTop w:val="0"/>
          <w:marBottom w:val="0"/>
          <w:divBdr>
            <w:top w:val="none" w:sz="0" w:space="0" w:color="auto"/>
            <w:left w:val="none" w:sz="0" w:space="0" w:color="auto"/>
            <w:bottom w:val="none" w:sz="0" w:space="0" w:color="auto"/>
            <w:right w:val="none" w:sz="0" w:space="0" w:color="auto"/>
          </w:divBdr>
        </w:div>
        <w:div w:id="511267051">
          <w:marLeft w:val="274"/>
          <w:marRight w:val="0"/>
          <w:marTop w:val="0"/>
          <w:marBottom w:val="0"/>
          <w:divBdr>
            <w:top w:val="none" w:sz="0" w:space="0" w:color="auto"/>
            <w:left w:val="none" w:sz="0" w:space="0" w:color="auto"/>
            <w:bottom w:val="none" w:sz="0" w:space="0" w:color="auto"/>
            <w:right w:val="none" w:sz="0" w:space="0" w:color="auto"/>
          </w:divBdr>
        </w:div>
        <w:div w:id="2045520546">
          <w:marLeft w:val="274"/>
          <w:marRight w:val="0"/>
          <w:marTop w:val="0"/>
          <w:marBottom w:val="0"/>
          <w:divBdr>
            <w:top w:val="none" w:sz="0" w:space="0" w:color="auto"/>
            <w:left w:val="none" w:sz="0" w:space="0" w:color="auto"/>
            <w:bottom w:val="none" w:sz="0" w:space="0" w:color="auto"/>
            <w:right w:val="none" w:sz="0" w:space="0" w:color="auto"/>
          </w:divBdr>
        </w:div>
        <w:div w:id="120390079">
          <w:marLeft w:val="274"/>
          <w:marRight w:val="0"/>
          <w:marTop w:val="0"/>
          <w:marBottom w:val="0"/>
          <w:divBdr>
            <w:top w:val="none" w:sz="0" w:space="0" w:color="auto"/>
            <w:left w:val="none" w:sz="0" w:space="0" w:color="auto"/>
            <w:bottom w:val="none" w:sz="0" w:space="0" w:color="auto"/>
            <w:right w:val="none" w:sz="0" w:space="0" w:color="auto"/>
          </w:divBdr>
        </w:div>
      </w:divsChild>
    </w:div>
    <w:div w:id="357465264">
      <w:bodyDiv w:val="1"/>
      <w:marLeft w:val="0"/>
      <w:marRight w:val="0"/>
      <w:marTop w:val="0"/>
      <w:marBottom w:val="0"/>
      <w:divBdr>
        <w:top w:val="none" w:sz="0" w:space="0" w:color="auto"/>
        <w:left w:val="none" w:sz="0" w:space="0" w:color="auto"/>
        <w:bottom w:val="none" w:sz="0" w:space="0" w:color="auto"/>
        <w:right w:val="none" w:sz="0" w:space="0" w:color="auto"/>
      </w:divBdr>
    </w:div>
    <w:div w:id="362705625">
      <w:bodyDiv w:val="1"/>
      <w:marLeft w:val="0"/>
      <w:marRight w:val="0"/>
      <w:marTop w:val="0"/>
      <w:marBottom w:val="0"/>
      <w:divBdr>
        <w:top w:val="none" w:sz="0" w:space="0" w:color="auto"/>
        <w:left w:val="none" w:sz="0" w:space="0" w:color="auto"/>
        <w:bottom w:val="none" w:sz="0" w:space="0" w:color="auto"/>
        <w:right w:val="none" w:sz="0" w:space="0" w:color="auto"/>
      </w:divBdr>
    </w:div>
    <w:div w:id="629750569">
      <w:bodyDiv w:val="1"/>
      <w:marLeft w:val="0"/>
      <w:marRight w:val="0"/>
      <w:marTop w:val="0"/>
      <w:marBottom w:val="0"/>
      <w:divBdr>
        <w:top w:val="none" w:sz="0" w:space="0" w:color="auto"/>
        <w:left w:val="none" w:sz="0" w:space="0" w:color="auto"/>
        <w:bottom w:val="none" w:sz="0" w:space="0" w:color="auto"/>
        <w:right w:val="none" w:sz="0" w:space="0" w:color="auto"/>
      </w:divBdr>
    </w:div>
    <w:div w:id="630743011">
      <w:bodyDiv w:val="1"/>
      <w:marLeft w:val="0"/>
      <w:marRight w:val="0"/>
      <w:marTop w:val="0"/>
      <w:marBottom w:val="0"/>
      <w:divBdr>
        <w:top w:val="none" w:sz="0" w:space="0" w:color="auto"/>
        <w:left w:val="none" w:sz="0" w:space="0" w:color="auto"/>
        <w:bottom w:val="none" w:sz="0" w:space="0" w:color="auto"/>
        <w:right w:val="none" w:sz="0" w:space="0" w:color="auto"/>
      </w:divBdr>
    </w:div>
    <w:div w:id="918368757">
      <w:bodyDiv w:val="1"/>
      <w:marLeft w:val="0"/>
      <w:marRight w:val="0"/>
      <w:marTop w:val="0"/>
      <w:marBottom w:val="0"/>
      <w:divBdr>
        <w:top w:val="none" w:sz="0" w:space="0" w:color="auto"/>
        <w:left w:val="none" w:sz="0" w:space="0" w:color="auto"/>
        <w:bottom w:val="none" w:sz="0" w:space="0" w:color="auto"/>
        <w:right w:val="none" w:sz="0" w:space="0" w:color="auto"/>
      </w:divBdr>
    </w:div>
    <w:div w:id="1363286852">
      <w:bodyDiv w:val="1"/>
      <w:marLeft w:val="0"/>
      <w:marRight w:val="0"/>
      <w:marTop w:val="0"/>
      <w:marBottom w:val="0"/>
      <w:divBdr>
        <w:top w:val="none" w:sz="0" w:space="0" w:color="auto"/>
        <w:left w:val="none" w:sz="0" w:space="0" w:color="auto"/>
        <w:bottom w:val="none" w:sz="0" w:space="0" w:color="auto"/>
        <w:right w:val="none" w:sz="0" w:space="0" w:color="auto"/>
      </w:divBdr>
    </w:div>
    <w:div w:id="1461848653">
      <w:bodyDiv w:val="1"/>
      <w:marLeft w:val="0"/>
      <w:marRight w:val="0"/>
      <w:marTop w:val="0"/>
      <w:marBottom w:val="0"/>
      <w:divBdr>
        <w:top w:val="none" w:sz="0" w:space="0" w:color="auto"/>
        <w:left w:val="none" w:sz="0" w:space="0" w:color="auto"/>
        <w:bottom w:val="none" w:sz="0" w:space="0" w:color="auto"/>
        <w:right w:val="none" w:sz="0" w:space="0" w:color="auto"/>
      </w:divBdr>
    </w:div>
    <w:div w:id="1538159115">
      <w:bodyDiv w:val="1"/>
      <w:marLeft w:val="0"/>
      <w:marRight w:val="0"/>
      <w:marTop w:val="0"/>
      <w:marBottom w:val="0"/>
      <w:divBdr>
        <w:top w:val="none" w:sz="0" w:space="0" w:color="auto"/>
        <w:left w:val="none" w:sz="0" w:space="0" w:color="auto"/>
        <w:bottom w:val="none" w:sz="0" w:space="0" w:color="auto"/>
        <w:right w:val="none" w:sz="0" w:space="0" w:color="auto"/>
      </w:divBdr>
    </w:div>
    <w:div w:id="1781215739">
      <w:bodyDiv w:val="1"/>
      <w:marLeft w:val="0"/>
      <w:marRight w:val="0"/>
      <w:marTop w:val="0"/>
      <w:marBottom w:val="0"/>
      <w:divBdr>
        <w:top w:val="none" w:sz="0" w:space="0" w:color="auto"/>
        <w:left w:val="none" w:sz="0" w:space="0" w:color="auto"/>
        <w:bottom w:val="none" w:sz="0" w:space="0" w:color="auto"/>
        <w:right w:val="none" w:sz="0" w:space="0" w:color="auto"/>
      </w:divBdr>
    </w:div>
    <w:div w:id="18849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mailto:rmh-tr.moleculardiagnostics@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mailto:y.wallis@nhs.net" TargetMode="External"/><Relationship Id="rId2" Type="http://schemas.openxmlformats.org/officeDocument/2006/relationships/customXml" Target="../customXml/item2.xml"/><Relationship Id="rId16" Type="http://schemas.openxmlformats.org/officeDocument/2006/relationships/hyperlink" Target="mailto:bwc.RGLMolecularPathologyTeam@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mailto:Mft.pharmaco.geneticsrequests@nhs.ne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uth.cancer.genomics@nhs.net"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02DB5-1938-48B7-A711-F1B86F749D3A}">
  <ds:schemaRefs>
    <ds:schemaRef ds:uri="http://purl.org/dc/terms/"/>
    <ds:schemaRef ds:uri="f90e7bc6-a3db-487f-b513-bfabef5bed32"/>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5d66da30-c57e-467e-bd92-94ce3dcc2d9c"/>
    <ds:schemaRef ds:uri="cccaf3ac-2de9-44d4-aa31-54302fceb5f7"/>
    <ds:schemaRef ds:uri="http://purl.org/dc/dcmitype/"/>
  </ds:schemaRefs>
</ds:datastoreItem>
</file>

<file path=customXml/itemProps2.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Letter template</vt:lpstr>
    </vt:vector>
  </TitlesOfParts>
  <Company>IMS3</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Fernley, Robert</dc:creator>
  <cp:lastModifiedBy>Robert Fernley</cp:lastModifiedBy>
  <cp:revision>2</cp:revision>
  <dcterms:created xsi:type="dcterms:W3CDTF">2020-04-21T08:42:00Z</dcterms:created>
  <dcterms:modified xsi:type="dcterms:W3CDTF">2020-04-21T08:42:00Z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